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Aboriginal and Torres Strait Islander Education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 dedicated Aboriginal and Torres Strait Islander Education Worker with a strong commitment to supporting Indigenous students in achieving their potential at school. Skilled in building trust with families and communities, providing cultural guidance and pastoral care, and working alongside teachers to create culturally safe learning environments.</w:t>
      </w:r>
    </w:p>
    <w:p>
      <w:pPr>
        <w:spacing w:before="280" w:after="120"/>
        <w:jc w:val="left"/>
        <w:pBdr>
          <w:bottom w:val="single" w:sz="6" w:space="4" w:color="DFDED8"/>
        </w:pBdr>
      </w:pPr>
      <w:r>
        <w:rPr>
          <w:b/>
          <w:color w:val="2F62D9"/>
          <w:sz w:val="22"/>
        </w:rPr>
        <w:t>KEY SKILLS</w:t>
      </w:r>
    </w:p>
    <w:p>
      <w:pPr>
        <w:spacing w:before="0" w:after="200"/>
        <w:jc w:val="left"/>
      </w:pPr>
      <w:r>
        <w:t>Teaching and instruction   •   Pastoral care and wellbeing   •   Community engagement   •   Student assessment and reporting   •   Casework and client support   •   Sentral   •   Compass   •   SEQTA   •   Microsoft Office   •   Google Workspace   •   Written communication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Aboriginal and Torres Strait Islander Education Worker</w:t>
      </w:r>
      <w:r>
        <w:t>, [Company Name], [City]</w:t>
      </w:r>
      <w:r>
        <w:rPr>
          <w:i/>
        </w:rPr>
        <w:tab/>
        <w:t>[Month Year] – [Month Year / Present]</w:t>
      </w:r>
    </w:p>
    <w:p>
      <w:pPr>
        <w:pStyle w:val="ListBullet"/>
        <w:spacing w:after="80" w:line="276" w:lineRule="auto"/>
      </w:pPr>
      <w:r>
        <w:t>Provided classroom support to Aboriginal and Torres Strait Islander students across Years 7 to 10, helping them stay engaged with learning tasks and complete assessments.</w:t>
      </w:r>
    </w:p>
    <w:p>
      <w:pPr>
        <w:pStyle w:val="ListBullet"/>
        <w:spacing w:after="80" w:line="276" w:lineRule="auto"/>
      </w:pPr>
      <w:r>
        <w:t>Liaised between families, community elders and school staff to address attendance barriers, resulting in more consistent attendance for a cohort of 15 students.</w:t>
      </w:r>
    </w:p>
    <w:p>
      <w:pPr>
        <w:pStyle w:val="ListBullet"/>
        <w:spacing w:after="80" w:line="276" w:lineRule="auto"/>
      </w:pPr>
      <w:r>
        <w:t>Assisted teachers in developing culturally appropriate resources, integrating local Aboriginal perspectives into lesson plans and improving student participation.</w:t>
      </w:r>
    </w:p>
    <w:p>
      <w:pPr>
        <w:pStyle w:val="ListBullet"/>
        <w:spacing w:after="80" w:line="276" w:lineRule="auto"/>
      </w:pPr>
      <w:r>
        <w:t>Monitored student attendance and wellbeing using Sentral, following up on absences and connecting students with pastoral care when needed.</w:t>
      </w:r>
    </w:p>
    <w:p>
      <w:pPr>
        <w:pStyle w:val="ListBullet"/>
        <w:spacing w:after="240" w:line="276" w:lineRule="auto"/>
      </w:pPr>
      <w:r>
        <w:t>Mentored students through cultural activities and yarning circles, strengthening their connection to culture and sense of belonging at school.</w:t>
      </w:r>
    </w:p>
    <w:p>
      <w:pPr>
        <w:spacing w:before="280" w:after="120"/>
        <w:jc w:val="left"/>
        <w:pBdr>
          <w:bottom w:val="single" w:sz="6" w:space="4" w:color="DFDED8"/>
        </w:pBdr>
      </w:pPr>
      <w:r>
        <w:rPr>
          <w:b/>
          <w:color w:val="2F62D9"/>
          <w:sz w:val="22"/>
        </w:rPr>
        <w:t>EDUCATION</w:t>
      </w:r>
    </w:p>
    <w:p>
      <w:pPr>
        <w:spacing w:before="0" w:after="200"/>
        <w:jc w:val="left"/>
      </w:pPr>
      <w:r>
        <w:t>Certificate III or IV in Education Support or Aboriginal and Torres Strait Islander Education, or equivalent community knowledge and experience, is typical for this role. Many workers also enter with Year 12 and complete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