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Aboriginal and Torres Strait Islander Health Practitioner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Aboriginal and Torres Strait Islander Health Practitioner with a strong focus on culturally safe primary health care in community controlled settings. Experienced in holistic assessment, care planning and medication support under a GP management plan. Committed to improving health access and outcomes for Aboriginal and Torres Strait Islander clients and families.</w:t>
      </w:r>
    </w:p>
    <w:p>
      <w:pPr>
        <w:spacing w:before="280" w:after="120"/>
        <w:jc w:val="left"/>
        <w:pBdr>
          <w:bottom w:val="single" w:sz="6" w:space="4" w:color="DFDED8"/>
        </w:pBdr>
      </w:pPr>
      <w:r>
        <w:rPr>
          <w:b/>
          <w:color w:val="2F62D9"/>
          <w:sz w:val="22"/>
        </w:rPr>
        <w:t>KEY SKILLS</w:t>
      </w:r>
    </w:p>
    <w:p>
      <w:pPr>
        <w:spacing w:before="0" w:after="200"/>
        <w:jc w:val="left"/>
      </w:pPr>
      <w:r>
        <w:t>Culturally safe practice   •   Patient care and support   •   Clinical assessment and treatment   •   Care planning and coordination   •   Health education and advice   •   Community engagement   •   Medication management   •   Regulatory compliance   •   Communicare   •   MedicalDirector   •   Best Practice   •   My Health Record   •   PenCS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Aboriginal and Torres Strait Islander Health Practitioner</w:t>
      </w:r>
      <w:r>
        <w:t>, [Company Name], [City]</w:t>
      </w:r>
      <w:r>
        <w:rPr>
          <w:i/>
        </w:rPr>
        <w:tab/>
        <w:t>[Month Year] – [Month Year / Present]</w:t>
      </w:r>
    </w:p>
    <w:p>
      <w:pPr>
        <w:pStyle w:val="ListBullet"/>
        <w:spacing w:after="80" w:line="276" w:lineRule="auto"/>
      </w:pPr>
      <w:r>
        <w:t>Conducted holistic health assessments for a weekly caseload of 30 clients, identifying chronic disease risks and coordinating follow-up care with the clinical team.</w:t>
      </w:r>
    </w:p>
    <w:p>
      <w:pPr>
        <w:pStyle w:val="ListBullet"/>
        <w:spacing w:after="80" w:line="276" w:lineRule="auto"/>
      </w:pPr>
      <w:r>
        <w:t>Administered and monitored medications under care plans, maintaining accurate records in Communicare and reducing missed doses across the clinic.</w:t>
      </w:r>
    </w:p>
    <w:p>
      <w:pPr>
        <w:pStyle w:val="ListBullet"/>
        <w:spacing w:after="80" w:line="276" w:lineRule="auto"/>
      </w:pPr>
      <w:r>
        <w:t>Delivered health education sessions on chronic disease prevention to community groups, leading to increased attendance at follow-up screenings.</w:t>
      </w:r>
    </w:p>
    <w:p>
      <w:pPr>
        <w:pStyle w:val="ListBullet"/>
        <w:spacing w:after="80" w:line="276" w:lineRule="auto"/>
      </w:pPr>
      <w:r>
        <w:t>Referred clients to medical, allied health and social support services, improving continuity of care between the clinic and external providers.</w:t>
      </w:r>
    </w:p>
    <w:p>
      <w:pPr>
        <w:pStyle w:val="ListBullet"/>
        <w:spacing w:after="240" w:line="276" w:lineRule="auto"/>
      </w:pPr>
      <w:r>
        <w:t>Worked with families and community members to support care coordination, building trust and encouraging early presentation for health concerns.</w:t>
      </w:r>
    </w:p>
    <w:p>
      <w:pPr>
        <w:spacing w:before="280" w:after="120"/>
        <w:jc w:val="left"/>
        <w:pBdr>
          <w:bottom w:val="single" w:sz="6" w:space="4" w:color="DFDED8"/>
        </w:pBdr>
      </w:pPr>
      <w:r>
        <w:rPr>
          <w:b/>
          <w:color w:val="2F62D9"/>
          <w:sz w:val="22"/>
        </w:rPr>
        <w:t>EDUCATION</w:t>
      </w:r>
    </w:p>
    <w:p>
      <w:pPr>
        <w:spacing w:before="0" w:after="200"/>
        <w:jc w:val="left"/>
      </w:pPr>
      <w:r>
        <w:t>Certificate IV in Aboriginal and/or Torres Strait Islander Primary Health Care (Practice) is the typical entry qualification, with Diploma and Bachelor pathways also available. Registration with the Aboriginal and Torres Strait Islander Health Practice Board of Australia under AHPRA is required to practise.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