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Adult Literacy and Numeracy Teacher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Adult Literacy and Numeracy Teacher with experience helping adults build foundational reading, writing, speaking and maths skills. Skilled in assessing learners against the Australian Core Skills Framework, designing individual learning plans and delivering flexible programs across face to face and online settings. Committed to empowering adults to reach their work, study and everyday goals.</w:t>
      </w:r>
    </w:p>
    <w:p>
      <w:pPr>
        <w:spacing w:before="280" w:after="120"/>
        <w:jc w:val="left"/>
        <w:pBdr>
          <w:bottom w:val="single" w:sz="6" w:space="4" w:color="DFDED8"/>
        </w:pBdr>
      </w:pPr>
      <w:r>
        <w:rPr>
          <w:b/>
          <w:color w:val="2F62D9"/>
          <w:sz w:val="22"/>
        </w:rPr>
        <w:t>KEY SKILLS</w:t>
      </w:r>
    </w:p>
    <w:p>
      <w:pPr>
        <w:spacing w:before="0" w:after="200"/>
        <w:jc w:val="left"/>
      </w:pPr>
      <w:r>
        <w:t>Teaching and instruction   •   Curriculum and lesson design   •   Student assessment and reporting   •   Classroom and behaviour management   •   Community engagement   •   Moodle   •   Microsoft Teams   •   Zoom   •   LLN Robot   •   Google Workspace   •   Written communication   •   Empathy and interpersonal care   •   Digital literacy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Adult Literacy and Numeracy Teacher</w:t>
      </w:r>
      <w:r>
        <w:t>, [Company Name], [City]</w:t>
      </w:r>
      <w:r>
        <w:rPr>
          <w:i/>
        </w:rPr>
        <w:tab/>
        <w:t>[Month Year] – [Month Year / Present]</w:t>
      </w:r>
    </w:p>
    <w:p>
      <w:pPr>
        <w:pStyle w:val="ListBullet"/>
        <w:spacing w:after="80" w:line="276" w:lineRule="auto"/>
      </w:pPr>
      <w:r>
        <w:t>Assessed learners' reading, writing, oral and numeracy levels using the Australian Core Skills Framework to design targeted learning plans.</w:t>
      </w:r>
    </w:p>
    <w:p>
      <w:pPr>
        <w:pStyle w:val="ListBullet"/>
        <w:spacing w:after="80" w:line="276" w:lineRule="auto"/>
      </w:pPr>
      <w:r>
        <w:t>Developed and delivered lesson materials for mixed ability groups, adapting resources for learners from non English speaking backgrounds or with disability.</w:t>
      </w:r>
    </w:p>
    <w:p>
      <w:pPr>
        <w:pStyle w:val="ListBullet"/>
        <w:spacing w:after="80" w:line="276" w:lineRule="auto"/>
      </w:pPr>
      <w:r>
        <w:t>Delivered small group and individual tuition in face to face and online settings using platforms such as Moodle, Microsoft Teams and Zoom.</w:t>
      </w:r>
    </w:p>
    <w:p>
      <w:pPr>
        <w:pStyle w:val="ListBullet"/>
        <w:spacing w:after="80" w:line="276" w:lineRule="auto"/>
      </w:pPr>
      <w:r>
        <w:t>Recorded learner progress, reported outcomes and referred learners to support services such as counselling and employment assistance.</w:t>
      </w:r>
    </w:p>
    <w:p>
      <w:pPr>
        <w:pStyle w:val="ListBullet"/>
        <w:spacing w:after="80" w:line="276" w:lineRule="auto"/>
      </w:pPr>
      <w:r>
        <w:t>Engaged with community organisations to promote adult literacy programs and recruit learners, helping to increase program participation.</w:t>
      </w:r>
    </w:p>
    <w:p>
      <w:pPr>
        <w:pStyle w:val="ListBullet"/>
        <w:spacing w:after="240" w:line="276" w:lineRule="auto"/>
      </w:pPr>
      <w:r>
        <w:t>Designed individual learning plans that helped learners achieve their goals, with several progressing to further study or employment.</w:t>
      </w:r>
    </w:p>
    <w:p>
      <w:pPr>
        <w:spacing w:before="280" w:after="120"/>
        <w:jc w:val="left"/>
        <w:pBdr>
          <w:bottom w:val="single" w:sz="6" w:space="4" w:color="DFDED8"/>
        </w:pBdr>
      </w:pPr>
      <w:r>
        <w:rPr>
          <w:b/>
          <w:color w:val="2F62D9"/>
          <w:sz w:val="22"/>
        </w:rPr>
        <w:t>EDUCATION</w:t>
      </w:r>
    </w:p>
    <w:p>
      <w:pPr>
        <w:spacing w:before="0" w:after="200"/>
        <w:jc w:val="left"/>
      </w:pPr>
      <w:r>
        <w:t>Bachelor degree in education or a related field, with many also holding a postgraduate qualification in adult literacy, numeracy or TESOL.</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