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Aged Care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aged care coordinator with a background in community and residential aged care, focused on helping older Australians remain safe, independent and connected to the services they choose. I combine care planning, service coordination and compliance knowledge to keep support practical, person centred and well documented. I work closely with clients, families, assessors and providers to review needs and adjust care as circumstances change.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Care planning and coordination   •   Casework and client support   •   Regulatory compliance with the Aged Care Quality Standards   •   My Aged Care portal   •   Care management software such as LeeCare and iCare   •   Microsoft Office   •   Rostering and scheduling systems   •   Written communication   •   Stakeholder management   •   Problem solving   •   Attention to detail   •   Person centred care planning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Aged Care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 needs and eligibility through My Aged Care, preparing referrals and care plans that matched services to each person's goals and budget.</w:t>
      </w:r>
    </w:p>
    <w:p>
      <w:pPr>
        <w:pStyle w:val="ListBullet"/>
        <w:spacing w:after="80" w:line="276" w:lineRule="auto"/>
      </w:pPr>
      <w:r>
        <w:t>Coordinated personal care, nursing and social support providers, reworking rosters to cut unplanned service gaps across a caseload of around 35 clients.</w:t>
      </w:r>
    </w:p>
    <w:p>
      <w:pPr>
        <w:pStyle w:val="ListBullet"/>
        <w:spacing w:after="80" w:line="276" w:lineRule="auto"/>
      </w:pPr>
      <w:r>
        <w:t>Reviewed care plans with clients and families at agreed intervals, updating goals, risk controls and service approvals as health and circumstances changed.</w:t>
      </w:r>
    </w:p>
    <w:p>
      <w:pPr>
        <w:pStyle w:val="ListBullet"/>
        <w:spacing w:after="80" w:line="276" w:lineRule="auto"/>
      </w:pPr>
      <w:r>
        <w:t>Maintained thorough client records and documentation, keeping files audit ready for Aged Care Quality Standards reviews and internal quality checks.</w:t>
      </w:r>
    </w:p>
    <w:p>
      <w:pPr>
        <w:pStyle w:val="ListBullet"/>
        <w:spacing w:after="240" w:line="276" w:lineRule="auto"/>
      </w:pPr>
      <w:r>
        <w:t>Supported clients and families through service changes and difficult conversations, escalating safeguarding concerns promptly and following up until resolved.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Certificate III in Individual Support (Ageing) or Certificate IV in Ageing Support, with many coordinators also holding a Diploma of Community Services or a Bachelor of Nursing, Social Work or Health Science. Entry often starts from direct care or administrative aged care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