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Architect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Registered-track architect experienced in taking projects from concept sketches through to construction documentation, balancing client vision with structural and regulatory requirements. Comfortable managing design across residential, commercial and mixed-use briefs, and confident presenting proposals directly to clients and consultants. Strong technical drawing skills paired with a practical understanding of budgets, timelines and building code compliance.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Spatial and interior design   •   CAD and technical drawing   •   Project management   •   Regulatory compliance under the National Construction Code   •   AutoCAD   •   Revit   •   SketchUp   •   BIM coordination   •   Stakeholder management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Architect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Developed conceptual designs and spatial layouts from client briefs and site analysis, progressing concepts to approved schemes within agreed design timeframes</w:t>
      </w:r>
    </w:p>
    <w:p>
      <w:pPr>
        <w:pStyle w:val="ListBullet"/>
        <w:spacing w:after="80" w:line="276" w:lineRule="auto"/>
      </w:pPr>
      <w:r>
        <w:t>Produced detailed architectural drawings and specifications in Revit and AutoCAD, reducing rework by catching clashes before documentation was issued for construction</w:t>
      </w:r>
    </w:p>
    <w:p>
      <w:pPr>
        <w:pStyle w:val="ListBullet"/>
        <w:spacing w:after="80" w:line="276" w:lineRule="auto"/>
      </w:pPr>
      <w:r>
        <w:t>Liaised with structural engineers, builders and consultants to resolve design and construction issues, keeping projects moving through the certification process</w:t>
      </w:r>
    </w:p>
    <w:p>
      <w:pPr>
        <w:pStyle w:val="ListBullet"/>
        <w:spacing w:after="80" w:line="276" w:lineRule="auto"/>
      </w:pPr>
      <w:r>
        <w:t>Managed design projects from concept through construction, tracking budgets and milestones and flagging variations to clients early</w:t>
      </w:r>
    </w:p>
    <w:p>
      <w:pPr>
        <w:pStyle w:val="ListBullet"/>
        <w:spacing w:after="240" w:line="276" w:lineRule="auto"/>
      </w:pPr>
      <w:r>
        <w:t>Presented design proposals to clients and stakeholders, incorporating feedback across revision rounds to reach sign-off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Architecture (or equivalent 5-year accredited degree) plus a Master of Architecture, followed by a period of practical experience and registration with the relevant state or territory Architects Registration Board via the Architectural Practice Examination.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