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Audiologist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audiologist skilled in comprehensive hearing and balance assessment, hearing aid fitting and patient counselling. Experienced working across paediatric and adult caseloads in clinic, hospital and community settings, with a practical focus on communication outcomes and device adherence. Comfortable liaising with GPs and ENT specialists on referral and treatment pathways.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  •   Patient care and support   •   Health education and advice   •   Care planning and coordination   •   Audiometer operation   •   Hearing aid programming software   •   Tympanometry   •   Otoscopic examination   •   Clinical documentation and records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Audiologist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audiometric testing and interpreted results for adult and paediatric clients, identifying hearing loss type and severity to guide referral and treatment planning</w:t>
      </w:r>
    </w:p>
    <w:p>
      <w:pPr>
        <w:pStyle w:val="ListBullet"/>
        <w:spacing w:after="80" w:line="276" w:lineRule="auto"/>
      </w:pPr>
      <w:r>
        <w:t>Fitted and programmed hearing aids and assistive listening devices, adjusting settings across follow-up appointments to improve client satisfaction with device use</w:t>
      </w:r>
    </w:p>
    <w:p>
      <w:pPr>
        <w:pStyle w:val="ListBullet"/>
        <w:spacing w:after="80" w:line="276" w:lineRule="auto"/>
      </w:pPr>
      <w:r>
        <w:t>Performed tympanometry and balance function assessments, documenting findings clearly for referring GPs and ENT specialists</w:t>
      </w:r>
    </w:p>
    <w:p>
      <w:pPr>
        <w:pStyle w:val="ListBullet"/>
        <w:spacing w:after="80" w:line="276" w:lineRule="auto"/>
      </w:pPr>
      <w:r>
        <w:t>Counselled clients and families on hearing loss management and communication strategies, supporting adherence to device use and rehabilitation plans</w:t>
      </w:r>
    </w:p>
    <w:p>
      <w:pPr>
        <w:pStyle w:val="ListBullet"/>
        <w:spacing w:after="240" w:line="276" w:lineRule="auto"/>
      </w:pPr>
      <w:r>
        <w:t>Maintained accurate clinical records in line with privacy and documentation standards, reducing delays in referral correspondence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Postgraduate qualification in audiology (Master of Clinical Audiology or equivalent accredited program), typically following an undergraduate degree in a related science, plus registration with the Audiologists Board of Australia (ABAAA) or membership with Audiology Australia.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