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Banking Relationship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Banking relationship manager with experience across retail and commercial banking, managing a portfolio of clients and matching them to lending, deposit and transactional solutions. Combines financial analysis and credit assessment with strong client advisory skills to support long-term relationships and meet regulatory obligations.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Financial analysis and modelling   •   Regulatory compliance (NCCP, ASIC, APRA)   •   Account and relationship management   •   Credit assessment and loan proposal preparation   •   Portfolio monitoring and cross-sell identification   •   Customer Relationship Management (CRM) software   •   Core banking systems   •   Financial analysis spreadsheets   •   Document management platforms   •   Client relationships and advisory   •   Written communication   •   Stakeholder management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Banking Relationship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 portfolio of retail and business clients, conducting regular reviews to assess changing financial needs and recommend suitable banking products.</w:t>
      </w:r>
    </w:p>
    <w:p>
      <w:pPr>
        <w:pStyle w:val="ListBullet"/>
        <w:spacing w:after="80" w:line="276" w:lineRule="auto"/>
      </w:pPr>
      <w:r>
        <w:t>Prepared loan proposals and supporting credit assessments, ensuring submissions met credit policy and regulatory requirements.</w:t>
      </w:r>
    </w:p>
    <w:p>
      <w:pPr>
        <w:pStyle w:val="ListBullet"/>
        <w:spacing w:after="80" w:line="276" w:lineRule="auto"/>
      </w:pPr>
      <w:r>
        <w:t>Monitored account performance across lending and deposits, identifying cross-sell opportunities and referring clients to specialist teams.</w:t>
      </w:r>
    </w:p>
    <w:p>
      <w:pPr>
        <w:pStyle w:val="ListBullet"/>
        <w:spacing w:after="80" w:line="276" w:lineRule="auto"/>
      </w:pPr>
      <w:r>
        <w:t>Built and maintained client relationships through scheduled contact, resulting in improved client retention and increased product holdings.</w:t>
      </w:r>
    </w:p>
    <w:p>
      <w:pPr>
        <w:pStyle w:val="ListBullet"/>
        <w:spacing w:after="240" w:line="276" w:lineRule="auto"/>
      </w:pPr>
      <w:r>
        <w:t>Documented all client interactions in CRM and core banking systems, maintaining accurate records for compliance and audit purposes.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finance, commerce or business is typical, though some enter with a Diploma of Financial Services and relevant experience. Postgraduate study in finance or an MBA is common for senior relationship managers.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