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Border Force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Border Force Officer with experience screening passengers, cargo and conveyances against Australia's migration, customs and biosecurity legislation. Comfortable making risk-based decisions under time pressure and documenting findings to the standard required for regulatory or prosecution action. Works well within a uniformed, procedure-driven environment while maintaining public-facing professionalism.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(Migration Act, Customs Act, Biosecurity Act)   •   Risk assessment and intelligence-led enforcement   •   Emergency and incident response   •   Border Management System (BMS)   •   X-ray and screening equipment operation   •   Drug detection kit use   •   Cargo declaration database checks   •   Two-way radio communication   •   Attention to detail   •   Report writing for regulatory action   •   Stakeholder and passenger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Border Force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Screened and interviewed passengers and crew at international checkpoints, identifying discrepancies in travel documentation and referring high-risk cases for secondary examination</w:t>
      </w:r>
    </w:p>
    <w:p>
      <w:pPr>
        <w:pStyle w:val="ListBullet"/>
        <w:spacing w:after="80" w:line="276" w:lineRule="auto"/>
      </w:pPr>
      <w:r>
        <w:t>Inspected cargo, baggage and conveyances using X-ray equipment and drug detection kits, intercepting prohibited or restricted items in line with Biosecurity Act requirements</w:t>
      </w:r>
    </w:p>
    <w:p>
      <w:pPr>
        <w:pStyle w:val="ListBullet"/>
        <w:spacing w:after="80" w:line="276" w:lineRule="auto"/>
      </w:pPr>
      <w:r>
        <w:t>Applied intelligence-led risk profiles to prioritise inspections, reducing time spent on low-risk passenger movements while maintaining detection rates</w:t>
      </w:r>
    </w:p>
    <w:p>
      <w:pPr>
        <w:pStyle w:val="ListBullet"/>
        <w:spacing w:after="80" w:line="276" w:lineRule="auto"/>
      </w:pPr>
      <w:r>
        <w:t>Prepared detailed incident and seizure reports to the standard required for regulatory referral or prosecution, ensuring evidentiary integrity</w:t>
      </w:r>
    </w:p>
    <w:p>
      <w:pPr>
        <w:pStyle w:val="ListBullet"/>
        <w:spacing w:after="240" w:line="276" w:lineRule="auto"/>
      </w:pPr>
      <w:r>
        <w:t>Responded to security alerts and on-site emergencies, coordinating with colleagues via two-way radio to contain and resolve incidents within procedure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III/IV or diploma in a relevant field (such as Justice, Government or Security), completed alongside the Australian Border Force College recruit training program; a bachelor's degree in criminology, law or a related discipline is also a common entry pathway, particularly for investigative or intelligence streams.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