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Building Designer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Building Designer who turns client briefs into compliant, buildable documentation for residential and light commercial projects. Comfortable across the whole arc of a job, from first concept sketch and planning permit through to construction drawings and site queries. Works closely with engineers, surveyors and builders so designs survive contact with the real site and the building surveyor.</w:t>
      </w:r>
    </w:p>
    <w:p>
      <w:pPr>
        <w:spacing w:before="280" w:after="120"/>
        <w:jc w:val="left"/>
        <w:pBdr>
          <w:bottom w:val="single" w:sz="6" w:space="4" w:color="DFDED8"/>
        </w:pBdr>
      </w:pPr>
      <w:r>
        <w:rPr>
          <w:b/>
          <w:color w:val="2F62D9"/>
          <w:sz w:val="22"/>
        </w:rPr>
        <w:t>KEY SKILLS</w:t>
      </w:r>
    </w:p>
    <w:p>
      <w:pPr>
        <w:spacing w:before="0" w:after="200"/>
        <w:jc w:val="left"/>
      </w:pPr>
      <w:r>
        <w:t>CAD and technical drawing, including full working drawing sets   •   Interpreting and applying the National Construction Code and relevant Australian Standards   •   Reading plans, specifications and engineering documentation   •   Spatial planning and interior layout for residential and light commercial work   •   Planning permit and building permit documentation   •   Revit and AutoCAD for documentation and scheduling   •   SketchUp and ArchiCAD for concept modelling   •   Bluebeam Revu for markups, drawing comparison and revision control   •   Client consultation and design advisory   •   Project coordination with consultants and builders</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Building Designer</w:t>
      </w:r>
      <w:r>
        <w:t>, [Company Name], [City]</w:t>
      </w:r>
      <w:r>
        <w:rPr>
          <w:i/>
        </w:rPr>
        <w:tab/>
        <w:t>[Month Year] – [Month Year / Present]</w:t>
      </w:r>
    </w:p>
    <w:p>
      <w:pPr>
        <w:pStyle w:val="ListBullet"/>
        <w:spacing w:after="80" w:line="276" w:lineRule="auto"/>
      </w:pPr>
      <w:r>
        <w:t>Produced full working drawing sets for residential renovations and extensions, coordinating structural, hydraulic and energy documentation so plans lodged with council and the building surveyor proceeded without a request for further information</w:t>
      </w:r>
    </w:p>
    <w:p>
      <w:pPr>
        <w:pStyle w:val="ListBullet"/>
        <w:spacing w:after="80" w:line="276" w:lineRule="auto"/>
      </w:pPr>
      <w:r>
        <w:t>Ran concept design meetings with clients, translating briefs into sketch plans and refining them through to written sign-off within agreed timeframes</w:t>
      </w:r>
    </w:p>
    <w:p>
      <w:pPr>
        <w:pStyle w:val="ListBullet"/>
        <w:spacing w:after="80" w:line="276" w:lineRule="auto"/>
      </w:pPr>
      <w:r>
        <w:t>Checked drawings against the National Construction Code and relevant Australian Standards before issue, catching compliance issues in-house rather than at certification stage</w:t>
      </w:r>
    </w:p>
    <w:p>
      <w:pPr>
        <w:pStyle w:val="ListBullet"/>
        <w:spacing w:after="80" w:line="276" w:lineRule="auto"/>
      </w:pPr>
      <w:r>
        <w:t>Set up Revit templates, titleblocks and layer standards across a small documentation team, reducing the time taken to issue a standard revision set</w:t>
      </w:r>
    </w:p>
    <w:p>
      <w:pPr>
        <w:pStyle w:val="ListBullet"/>
        <w:spacing w:after="80" w:line="276" w:lineRule="auto"/>
      </w:pPr>
      <w:r>
        <w:t>Coordinated with engineers, surveyors and builders during construction, resolving site queries so works continued without avoidable hold-ups</w:t>
      </w:r>
    </w:p>
    <w:p>
      <w:pPr>
        <w:pStyle w:val="ListBullet"/>
        <w:spacing w:after="240" w:line="276" w:lineRule="auto"/>
      </w:pPr>
      <w:r>
        <w:t>Prepared planning permit applications including ResCode and neighbourhood character responses, and arranged Bushfire Attack Level and energy rating documentation for affected sites</w:t>
      </w:r>
    </w:p>
    <w:p>
      <w:pPr>
        <w:spacing w:before="280" w:after="120"/>
        <w:jc w:val="left"/>
        <w:pBdr>
          <w:bottom w:val="single" w:sz="6" w:space="4" w:color="DFDED8"/>
        </w:pBdr>
      </w:pPr>
      <w:r>
        <w:rPr>
          <w:b/>
          <w:color w:val="2F62D9"/>
          <w:sz w:val="22"/>
        </w:rPr>
        <w:t>EDUCATION</w:t>
      </w:r>
    </w:p>
    <w:p>
      <w:pPr>
        <w:spacing w:before="0" w:after="200"/>
        <w:jc w:val="left"/>
      </w:pPr>
      <w:r>
        <w:t>Typically entered through a Diploma of Building Design (CPP50921) or Advanced Diploma of Building Design (Architectural) (CPP60421), with some designers holding a Bachelor of Design (Architecture) or a construction-related degree; registration or licensing as a building designer is required in several states and territories.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