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Business Banker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Business banker with experience assessing credit and structuring loan facilities for small and medium businesses. Combines financial analysis with client relationship management to balance borrower needs against the bank's risk appetite. Works across relationship management and credit teams to deliver compliant lending solutions.</w:t>
      </w:r>
    </w:p>
    <w:p>
      <w:pPr>
        <w:spacing w:before="280" w:after="120"/>
        <w:jc w:val="left"/>
        <w:pBdr>
          <w:bottom w:val="single" w:sz="6" w:space="4" w:color="DFDED8"/>
        </w:pBdr>
      </w:pPr>
      <w:r>
        <w:rPr>
          <w:b/>
          <w:color w:val="2F62D9"/>
          <w:sz w:val="22"/>
        </w:rPr>
        <w:t>KEY SKILLS</w:t>
      </w:r>
    </w:p>
    <w:p>
      <w:pPr>
        <w:spacing w:before="0" w:after="200"/>
        <w:jc w:val="left"/>
      </w:pPr>
      <w:r>
        <w:t>Financial analysis and modelling   •   Credit assessment and loan structuring   •   Risk and internal controls   •   Regulatory compliance (APRA, ASIC, AML/CTF)   •   Client relationships and advisory   •   Stakeholder management   •   Attention to detail   •   Problem solving   •   Credit analysis software (e.g. Moody's Analytics)   •   Loan origination platform (LOP)   •   Financial modelling spreadsheets   •   CRM systems   •   Risk management database</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Business Banker</w:t>
      </w:r>
      <w:r>
        <w:t>, [Company Name], [City]</w:t>
      </w:r>
      <w:r>
        <w:rPr>
          <w:i/>
        </w:rPr>
        <w:tab/>
        <w:t>[Month Year] – [Month Year / Present]</w:t>
      </w:r>
    </w:p>
    <w:p>
      <w:pPr>
        <w:pStyle w:val="ListBullet"/>
        <w:spacing w:after="80" w:line="276" w:lineRule="auto"/>
      </w:pPr>
      <w:r>
        <w:t>Analysed financial statements and tax returns for a portfolio of SME clients, identifying repayment capacity and structuring facilities that met both client needs and credit policy.</w:t>
      </w:r>
    </w:p>
    <w:p>
      <w:pPr>
        <w:pStyle w:val="ListBullet"/>
        <w:spacing w:after="80" w:line="276" w:lineRule="auto"/>
      </w:pPr>
      <w:r>
        <w:t>Prepared credit proposals for credit committee approval, presenting clear risk assessments and recommended loan structures.</w:t>
      </w:r>
    </w:p>
    <w:p>
      <w:pPr>
        <w:pStyle w:val="ListBullet"/>
        <w:spacing w:after="80" w:line="276" w:lineRule="auto"/>
      </w:pPr>
      <w:r>
        <w:t>Conducted site visits and business interviews to evaluate trading conditions and management capability, building a detailed understanding of each borrower's operations.</w:t>
      </w:r>
    </w:p>
    <w:p>
      <w:pPr>
        <w:pStyle w:val="ListBullet"/>
        <w:spacing w:after="80" w:line="276" w:lineRule="auto"/>
      </w:pPr>
      <w:r>
        <w:t>Monitored loan performance and managed covenant compliance for existing facilities, addressing breaches promptly to protect the bank's position.</w:t>
      </w:r>
    </w:p>
    <w:p>
      <w:pPr>
        <w:pStyle w:val="ListBullet"/>
        <w:spacing w:after="80" w:line="276" w:lineRule="auto"/>
      </w:pPr>
      <w:r>
        <w:t>Built and maintained relationships with business clients through regular contact, resulting in repeat lending and referrals.</w:t>
      </w:r>
    </w:p>
    <w:p>
      <w:pPr>
        <w:pStyle w:val="ListBullet"/>
        <w:spacing w:after="240" w:line="276" w:lineRule="auto"/>
      </w:pPr>
      <w:r>
        <w:t>Streamlined credit submission process by improving data collection and analysis, reducing average approval time and enhancing accuracy.</w:t>
      </w:r>
    </w:p>
    <w:p>
      <w:pPr>
        <w:spacing w:before="280" w:after="120"/>
        <w:jc w:val="left"/>
        <w:pBdr>
          <w:bottom w:val="single" w:sz="6" w:space="4" w:color="DFDED8"/>
        </w:pBdr>
      </w:pPr>
      <w:r>
        <w:rPr>
          <w:b/>
          <w:color w:val="2F62D9"/>
          <w:sz w:val="22"/>
        </w:rPr>
        <w:t>EDUCATION</w:t>
      </w:r>
    </w:p>
    <w:p>
      <w:pPr>
        <w:spacing w:before="0" w:after="200"/>
        <w:jc w:val="left"/>
      </w:pPr>
      <w:r>
        <w:t>Typically holds a bachelor degree in finance, business, accounting or a related field, with some professionals completing a postgraduate qualification such as a Master of Business Administration or Graduate Diploma in Finance. A diploma or advanced diploma in finance or business is also a recognised pathway into the role.</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