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Cardiologist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Cardiologist with FRACP and AHPRA specialist registration, experienced in diagnosing and managing heart and vascular conditions in hospital and private practice. Skilled in cardiac imaging, stress testing and interventional procedures such as angioplasty and stenting. Committed to coordinated, patient-centred care and long-term management of chronic conditions including heart failure and arrhythmias.</w:t>
      </w:r>
    </w:p>
    <w:p>
      <w:pPr>
        <w:spacing w:before="280" w:after="120"/>
        <w:jc w:val="left"/>
        <w:pBdr>
          <w:bottom w:val="single" w:sz="6" w:space="4" w:color="DFDED8"/>
        </w:pBdr>
      </w:pPr>
      <w:r>
        <w:rPr>
          <w:b/>
          <w:color w:val="2F62D9"/>
          <w:sz w:val="22"/>
        </w:rPr>
        <w:t>KEY SKILLS</w:t>
      </w:r>
    </w:p>
    <w:p>
      <w:pPr>
        <w:spacing w:before="0" w:after="200"/>
        <w:jc w:val="left"/>
      </w:pPr>
      <w:r>
        <w:t>Echocardiography and stress testing   •   Cardiac catheterisation and angioplasty   •   Heart failure and arrhythmia management   •   Medication management and titration   •   Care planning and coordination with multidisciplinary teams   •   Patient education and health promotion   •   Epic and Cerner electronic medical records   •   ECG interpretation   •   Clinical assessment and treatment   •   Written communication   •   Problem solving   •   People leadership</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Cardiologist</w:t>
      </w:r>
      <w:r>
        <w:t>, [Company Name], [City]</w:t>
      </w:r>
      <w:r>
        <w:rPr>
          <w:i/>
        </w:rPr>
        <w:tab/>
        <w:t>[Month Year] – [Month Year / Present]</w:t>
      </w:r>
    </w:p>
    <w:p>
      <w:pPr>
        <w:pStyle w:val="ListBullet"/>
        <w:spacing w:after="80" w:line="276" w:lineRule="auto"/>
      </w:pPr>
      <w:r>
        <w:t>Performed over 150 diagnostic and interventional cardiac procedures annually, including angioplasty and stenting, with a focus on patient safety and procedural efficiency.</w:t>
      </w:r>
    </w:p>
    <w:p>
      <w:pPr>
        <w:pStyle w:val="ListBullet"/>
        <w:spacing w:after="80" w:line="276" w:lineRule="auto"/>
      </w:pPr>
      <w:r>
        <w:t>Reduced average wait time for echocardiography from three weeks to five days by streamlining scheduling and triaging referrals.</w:t>
      </w:r>
    </w:p>
    <w:p>
      <w:pPr>
        <w:pStyle w:val="ListBullet"/>
        <w:spacing w:after="80" w:line="276" w:lineRule="auto"/>
      </w:pPr>
      <w:r>
        <w:t>Managed a caseload of 120 patients with heart failure, achieving a reduction in hospital readmissions through structured follow-up and medication optimisation.</w:t>
      </w:r>
    </w:p>
    <w:p>
      <w:pPr>
        <w:pStyle w:val="ListBullet"/>
        <w:spacing w:after="80" w:line="276" w:lineRule="auto"/>
      </w:pPr>
      <w:r>
        <w:t>Led a multidisciplinary team of 15 clinicians and allied health staff to deliver coordinated cardiac care across inpatient and outpatient settings.</w:t>
      </w:r>
    </w:p>
    <w:p>
      <w:pPr>
        <w:pStyle w:val="ListBullet"/>
        <w:spacing w:after="80" w:line="276" w:lineRule="auto"/>
      </w:pPr>
      <w:r>
        <w:t>Trained junior medical officers and registrars in ECG interpretation, stress testing protocols and catheterisation lab procedures.</w:t>
      </w:r>
    </w:p>
    <w:p>
      <w:pPr>
        <w:pStyle w:val="ListBullet"/>
        <w:spacing w:after="240" w:line="276" w:lineRule="auto"/>
      </w:pPr>
      <w:r>
        <w:t>Developed patient education materials on heart failure self-management to support adherence to treatment plans.</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specialist training in cardiology through the Royal Australasian College of Physicians (RACP) and Fellowship of the Royal Australasian College of Physicians (FRACP).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