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Chief Executive Officer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Chief Executive Officer with a track record of setting strategic direction, leading executive teams and reporting financial performance to boards and shareholders. Experienced balancing long-term vision with the operational discipline needed to manage risk, capital allocation and stakeholder relationships. Comfortable sitting as the final point of accountability for organisational performance and culture.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Strategy development   •   Financial analysis and modelling   •   Risk and internal controls   •   Project management   •   People leadership   •   Stakeholder management   •   ERP systems (SAP, Oracle)   •   Business intelligence dashboards (Tableau, Power BI)   •   Board management software (Diligent, Boardvantage)   •   Financial forecasting tools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Chief Executive Officer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Developed and communicated a multi-year strategic plan to the board, aligning capital allocation with market conditions and organisational mission</w:t>
      </w:r>
    </w:p>
    <w:p>
      <w:pPr>
        <w:pStyle w:val="ListBullet"/>
        <w:spacing w:after="80" w:line="276" w:lineRule="auto"/>
      </w:pPr>
      <w:r>
        <w:t>Led the executive team through a period of restructure, improving cross-functional decision-making and shortening time to market for new initiatives</w:t>
      </w:r>
    </w:p>
    <w:p>
      <w:pPr>
        <w:pStyle w:val="ListBullet"/>
        <w:spacing w:after="80" w:line="276" w:lineRule="auto"/>
      </w:pPr>
      <w:r>
        <w:t>Oversaw financial performance and capital allocation, reporting monthly on P&amp;L, cash flow and forecast variance to the board and major shareholders</w:t>
      </w:r>
    </w:p>
    <w:p>
      <w:pPr>
        <w:pStyle w:val="ListBullet"/>
        <w:spacing w:after="80" w:line="276" w:lineRule="auto"/>
      </w:pPr>
      <w:r>
        <w:t>Built and maintained relationships with investors, key customers and strategic partners, securing renewed funding and contract commitments</w:t>
      </w:r>
    </w:p>
    <w:p>
      <w:pPr>
        <w:pStyle w:val="ListBullet"/>
        <w:spacing w:after="240" w:line="276" w:lineRule="auto"/>
      </w:pPr>
      <w:r>
        <w:t>Identified an emerging market risk ahead of a sector downturn and repositioned strategy in response, protecting margin while competitors scaled back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Typically a bachelor degree in business, commerce, law or a related field, often followed by an MBA or other postgraduate qualification; many CEOs reach the role through progressive senior management and operational experience rather than a single formal pathway, and completing an Australian Institute of Company Directors course is common preparation for board-facing work.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