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Childcare Centre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Early childhood leader with experience running long day care operations, supervising educators and support staff, and keeping services aligned with the National Quality Standard. Comfortable moving between budget spreadsheets, staff rosters and conversations with families, and known for turning compliance requirements into practical day-to-day routines.</w:t>
      </w:r>
    </w:p>
    <w:p>
      <w:pPr>
        <w:spacing w:before="280" w:after="120"/>
        <w:jc w:val="left"/>
        <w:pBdr>
          <w:bottom w:val="single" w:sz="6" w:space="4" w:color="DFDED8"/>
        </w:pBdr>
      </w:pPr>
      <w:r>
        <w:rPr>
          <w:b/>
          <w:color w:val="2F62D9"/>
          <w:sz w:val="22"/>
        </w:rPr>
        <w:t>KEY SKILLS</w:t>
      </w:r>
    </w:p>
    <w:p>
      <w:pPr>
        <w:spacing w:before="0" w:after="200"/>
        <w:jc w:val="left"/>
      </w:pPr>
      <w:r>
        <w:t>Budgeting and forecasting   •   Regulatory compliance (NQS)   •   Staff recruitment and performance management   •   Quality Improvement Plan (QIP) development   •   Pastoral care and wellbeing   •   Kinderloop or My Family Lounge   •   MYOB or Xero   •   Microsoft Office Suite   •   Stakeholder management   •   Curriculum and program oversight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Childcare Centre Manager</w:t>
      </w:r>
      <w:r>
        <w:t>, [Company Name], [City]</w:t>
      </w:r>
      <w:r>
        <w:rPr>
          <w:i/>
        </w:rPr>
        <w:tab/>
        <w:t>[Month Year] – [Month Year / Present]</w:t>
      </w:r>
    </w:p>
    <w:p>
      <w:pPr>
        <w:pStyle w:val="ListBullet"/>
        <w:spacing w:after="80" w:line="276" w:lineRule="auto"/>
      </w:pPr>
      <w:r>
        <w:t>Led recruitment, onboarding, rostering and performance review processes for educators and support staff, maintaining ratios and qualification requirements under the Education and Care Services National Law</w:t>
      </w:r>
    </w:p>
    <w:p>
      <w:pPr>
        <w:pStyle w:val="ListBullet"/>
        <w:spacing w:after="80" w:line="276" w:lineRule="auto"/>
      </w:pPr>
      <w:r>
        <w:t>Developed and monitored the centre's operating budget using MYOB, tracking fee income against wages and consumables to keep the service financially sustainable</w:t>
      </w:r>
    </w:p>
    <w:p>
      <w:pPr>
        <w:pStyle w:val="ListBullet"/>
        <w:spacing w:after="80" w:line="276" w:lineRule="auto"/>
      </w:pPr>
      <w:r>
        <w:t>Coordinated the service's Quality Improvement Plan with the educator team, working through each National Quality Standard area systematically ahead of assessment and rating visits</w:t>
      </w:r>
    </w:p>
    <w:p>
      <w:pPr>
        <w:pStyle w:val="ListBullet"/>
        <w:spacing w:after="80" w:line="276" w:lineRule="auto"/>
      </w:pPr>
      <w:r>
        <w:t>Built ongoing relationships with families, local schools and community agencies to support enrolments, transitions to school and family support referrals</w:t>
      </w:r>
    </w:p>
    <w:p>
      <w:pPr>
        <w:pStyle w:val="ListBullet"/>
        <w:spacing w:after="240" w:line="276" w:lineRule="auto"/>
      </w:pPr>
      <w:r>
        <w:t>Reviewed staff qualifications, Working with Children Checks and first aid certifications against a tracking system, keeping the service audit-ready at short notice</w:t>
      </w:r>
    </w:p>
    <w:p>
      <w:pPr>
        <w:spacing w:before="280" w:after="120"/>
        <w:jc w:val="left"/>
        <w:pBdr>
          <w:bottom w:val="single" w:sz="6" w:space="4" w:color="DFDED8"/>
        </w:pBdr>
      </w:pPr>
      <w:r>
        <w:rPr>
          <w:b/>
          <w:color w:val="2F62D9"/>
          <w:sz w:val="22"/>
        </w:rPr>
        <w:t>EDUCATION</w:t>
      </w:r>
    </w:p>
    <w:p>
      <w:pPr>
        <w:spacing w:before="0" w:after="200"/>
        <w:jc w:val="left"/>
      </w:pPr>
      <w:r>
        <w:t>Typical pathway is a Diploma of Early Childhood Education and Care or a Bachelor of Early Childhood Education, often followed by ACECQA recognition to act as Nominated Supervisor or Centre Director; some managers move into the role after postgraduate study in education leadership.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