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Claims Assessor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Claims Assessor with a background in policy interpretation, damage valuation and evidence-based decision making across motor, property and liability portfolios. Skilled at balancing accuracy and turnaround time while keeping claimants informed throughout the assessment process. Comfortable working independently on site inspections and desk-based file reviews alike.</w:t>
      </w:r>
    </w:p>
    <w:p>
      <w:pPr>
        <w:spacing w:before="280" w:after="120"/>
        <w:jc w:val="left"/>
        <w:pBdr>
          <w:bottom w:val="single" w:sz="6" w:space="4" w:color="DFDED8"/>
        </w:pBdr>
      </w:pPr>
      <w:r>
        <w:rPr>
          <w:b/>
          <w:color w:val="2F62D9"/>
          <w:sz w:val="22"/>
        </w:rPr>
        <w:t>KEY SKILLS</w:t>
      </w:r>
    </w:p>
    <w:p>
      <w:pPr>
        <w:spacing w:before="0" w:after="200"/>
        <w:jc w:val="left"/>
      </w:pPr>
      <w:r>
        <w:t>Policy interpretation and coverage determination   •   Financial analysis and claim valuation   •   Risk and internal controls   •   Regulatory compliance (General Insurance Code of Practice, APRA/ASIC obligations)   •   Claims management software (e.g. Xchangeworks, Omni, Healix)   •   Microsoft Office suite   •   Google Earth and mapping tools for site assessment   •   Digital camera and mobile inspection apps   •   Legal and policy databases   •   Stakeholder and claimant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Claims Assessor</w:t>
      </w:r>
      <w:r>
        <w:t>, [Company Name], [City]</w:t>
      </w:r>
      <w:r>
        <w:rPr>
          <w:i/>
        </w:rPr>
        <w:tab/>
        <w:t>[Month Year] – [Month Year / Present]</w:t>
      </w:r>
    </w:p>
    <w:p>
      <w:pPr>
        <w:pStyle w:val="ListBullet"/>
        <w:spacing w:after="80" w:line="276" w:lineRule="auto"/>
      </w:pPr>
      <w:r>
        <w:t>Reviewed claim documentation and policy wording against coverage terms to determine eligibility, reducing files referred back for missing information</w:t>
      </w:r>
    </w:p>
    <w:p>
      <w:pPr>
        <w:pStyle w:val="ListBullet"/>
        <w:spacing w:after="80" w:line="276" w:lineRule="auto"/>
      </w:pPr>
      <w:r>
        <w:t>Conducted on-site inspections of motor vehicle and property damage, photographing evidence and cross-checking findings against repair quotes and assessor reports</w:t>
      </w:r>
    </w:p>
    <w:p>
      <w:pPr>
        <w:pStyle w:val="ListBullet"/>
        <w:spacing w:after="80" w:line="276" w:lineRule="auto"/>
      </w:pPr>
      <w:r>
        <w:t>Interviewed claimants, witnesses and service providers to establish a factual record, resolving inconsistencies before recommendation stage</w:t>
      </w:r>
    </w:p>
    <w:p>
      <w:pPr>
        <w:pStyle w:val="ListBullet"/>
        <w:spacing w:after="80" w:line="276" w:lineRule="auto"/>
      </w:pPr>
      <w:r>
        <w:t>Calculated liability and compensation amounts using industry valuation standards, keeping payouts within policy limits and internal authority levels</w:t>
      </w:r>
    </w:p>
    <w:p>
      <w:pPr>
        <w:pStyle w:val="ListBullet"/>
        <w:spacing w:after="80" w:line="276" w:lineRule="auto"/>
      </w:pPr>
      <w:r>
        <w:t>Prepared assessment reports and settlement recommendations that held up under internal audit and dispute review</w:t>
      </w:r>
    </w:p>
    <w:p>
      <w:pPr>
        <w:pStyle w:val="ListBullet"/>
        <w:spacing w:after="240" w:line="276" w:lineRule="auto"/>
      </w:pPr>
      <w:r>
        <w:t>Managed a mixed caseload across motor, property and liability claims, meeting service level turnaround targets set by the insurer</w:t>
      </w:r>
    </w:p>
    <w:p>
      <w:pPr>
        <w:spacing w:before="280" w:after="120"/>
        <w:jc w:val="left"/>
        <w:pBdr>
          <w:bottom w:val="single" w:sz="6" w:space="4" w:color="DFDED8"/>
        </w:pBdr>
      </w:pPr>
      <w:r>
        <w:rPr>
          <w:b/>
          <w:color w:val="2F62D9"/>
          <w:sz w:val="22"/>
        </w:rPr>
        <w:t>EDUCATION</w:t>
      </w:r>
    </w:p>
    <w:p>
      <w:pPr>
        <w:spacing w:before="0" w:after="200"/>
        <w:jc w:val="left"/>
      </w:pPr>
      <w:r>
        <w:t>Typical entry is a Diploma or Bachelor degree in insurance, business or a related field, or a Certificate IV in General Insurance combined with on-the-job training and progression through claims handling roles; many assessors also complete ANZIIF accreditation once in the role.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