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Clinical Pharmacologist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Clinical pharmacologist and medical specialist with advanced training in how medicines behave in patients, from early-phase trials through to complex hospital prescribing. Combines clinical assessment with data analysis to reduce adverse drug events and support evidence-based medication decisions. Experienced in trial design, regulatory reporting and teaching within Australian hospital and research settings.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Medication management   •   Therapeutic drug monitoring   •   Adverse drug reaction reporting   •   Clinical trial design and supervision   •   Pharmacokinetic and pharmacodynamic analysis   •   Data analysis   •   Statistical modelling   •   Regulatory compliance with TGA and HREC requirements   •   REDCap   •   Stata   •   R   •   MIMS Online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Clinical Pharmacologist</w:t>
      </w:r>
      <w:r>
        <w:t>, [Company Name], [City]</w:t>
      </w:r>
      <w:r>
        <w:rPr>
          <w:i/>
        </w:rPr>
        <w:tab/>
        <w:t>[Month Year] – [Month Year / Present]</w:t>
      </w:r>
    </w:p>
    <w:p>
      <w:pPr>
        <w:pStyle w:val="ListBullet"/>
        <w:spacing w:after="80" w:line="276" w:lineRule="auto"/>
      </w:pPr>
      <w:r>
        <w:t>Reviewed medication regimens for hospital inpatients with complex conditions, identifying interactions, duplications and dose errors, and recommending adjustments to treating teams.</w:t>
      </w:r>
    </w:p>
    <w:p>
      <w:pPr>
        <w:pStyle w:val="ListBullet"/>
        <w:spacing w:after="80" w:line="276" w:lineRule="auto"/>
      </w:pPr>
      <w:r>
        <w:t>Designed and supervised clinical trials of new medicines, from protocol development and HREC submissions through to REDCap data management and close-out reporting.</w:t>
      </w:r>
    </w:p>
    <w:p>
      <w:pPr>
        <w:pStyle w:val="ListBullet"/>
        <w:spacing w:after="80" w:line="276" w:lineRule="auto"/>
      </w:pPr>
      <w:r>
        <w:t>Advised medical, nursing and pharmacy teams on safe dosing, adverse effects and therapeutic drug monitoring, reducing preventable escalations to the toxicology service.</w:t>
      </w:r>
    </w:p>
    <w:p>
      <w:pPr>
        <w:pStyle w:val="ListBullet"/>
        <w:spacing w:after="80" w:line="276" w:lineRule="auto"/>
      </w:pPr>
      <w:r>
        <w:t>Prepared regulatory and ethics reports for the TGA and human research ethics committees, maintaining compliance with ICH-GCP and Australian research governance standards.</w:t>
      </w:r>
    </w:p>
    <w:p>
      <w:pPr>
        <w:pStyle w:val="ListBullet"/>
        <w:spacing w:after="80" w:line="276" w:lineRule="auto"/>
      </w:pPr>
      <w:r>
        <w:t>Analysed pharmacokinetic and pharmacodynamic data in Stata and R to support prescribing guidance for patients with renal or hepatic impairment.</w:t>
      </w:r>
    </w:p>
    <w:p>
      <w:pPr>
        <w:pStyle w:val="ListBullet"/>
        <w:spacing w:after="240" w:line="276" w:lineRule="auto"/>
      </w:pPr>
      <w:r>
        <w:t>Led medication reconciliation and education sessions for junior medical staff, improving the accuracy of drug histories at admission and discharge.</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prevocational hospital training and advanced training with the Royal Australasian College of Physicians (RACP) in clinical pharmacology.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