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Communications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Communications Manager with experience building integrated messaging strategies across internal and external channels. Strong background in media relations, content development and campaign delivery, with a focus on protecting brand reputation and keeping staff and stakeholders informed. Comfortable reporting to senior leadership and coordinating across marketing, HR and operations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Strategic communication planning   •   Content creation and editorial writing   •   Media relations and crisis messaging   •   Stakeholder management   •   Project management   •   Data analysis and reporting   •   Adobe Creative Suite   •   Hootsuite or Buffer   •   HubSpot CMS   •   Canva   •   Microsoft Teams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Communications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executed an integrated communication strategy spanning internal announcements, press releases and web content, keeping messaging consistent across all channels</w:t>
      </w:r>
    </w:p>
    <w:p>
      <w:pPr>
        <w:pStyle w:val="ListBullet"/>
        <w:spacing w:after="80" w:line="276" w:lineRule="auto"/>
      </w:pPr>
      <w:r>
        <w:t>Managed media inquiries and coordinated interview opportunities, building working relationships with journalists that supported timely, accurate coverage</w:t>
      </w:r>
    </w:p>
    <w:p>
      <w:pPr>
        <w:pStyle w:val="ListBullet"/>
        <w:spacing w:after="80" w:line="276" w:lineRule="auto"/>
      </w:pPr>
      <w:r>
        <w:t>Planned and delivered multi-channel campaigns across digital, print and social platforms, lifting audience engagement against prior campaign benchmarks</w:t>
      </w:r>
    </w:p>
    <w:p>
      <w:pPr>
        <w:pStyle w:val="ListBullet"/>
        <w:spacing w:after="80" w:line="276" w:lineRule="auto"/>
      </w:pPr>
      <w:r>
        <w:t>Wrote and edited newsletters and web content for internal and external audiences, reducing turnaround time between drafting and distribution</w:t>
      </w:r>
    </w:p>
    <w:p>
      <w:pPr>
        <w:pStyle w:val="ListBullet"/>
        <w:spacing w:after="80" w:line="276" w:lineRule="auto"/>
      </w:pPr>
      <w:r>
        <w:t>Led crisis communication response during a sensitive organisational event, coordinating leadership statements and media responses under tight deadlines</w:t>
      </w:r>
    </w:p>
    <w:p>
      <w:pPr>
        <w:pStyle w:val="ListBullet"/>
        <w:spacing w:after="240" w:line="276" w:lineRule="auto"/>
      </w:pPr>
      <w:r>
        <w:t>Monitored campaign performance through analytics and stakeholder feedback, adjusting messaging frameworks to improve reach and clarity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bachelor degree in communications, journalism, public relations or marketing, with many senior practitioners holding a postgraduate qualification in communications or business; membership with the Public Relations Institute of Australia (PRIA) is common but not mandatory.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