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Company Secretary</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Company Secretary with experience managing board administration, statutory compliance and shareholder communications for regulated organisations. Skilled at translating corporations law and ASX listing rules into practical governance processes that hold up under scrutiny. Works closely with boards, auditors and regulators to keep corporate records accurate and meetings run to standard.</w:t>
      </w:r>
    </w:p>
    <w:p>
      <w:pPr>
        <w:spacing w:before="280" w:after="120"/>
        <w:jc w:val="left"/>
        <w:pBdr>
          <w:bottom w:val="single" w:sz="6" w:space="4" w:color="DFDED8"/>
        </w:pBdr>
      </w:pPr>
      <w:r>
        <w:rPr>
          <w:b/>
          <w:color w:val="2F62D9"/>
          <w:sz w:val="22"/>
        </w:rPr>
        <w:t>KEY SKILLS</w:t>
      </w:r>
    </w:p>
    <w:p>
      <w:pPr>
        <w:spacing w:before="0" w:after="200"/>
        <w:jc w:val="left"/>
      </w:pPr>
      <w:r>
        <w:t>Regulatory compliance   •   Corporate governance advice   •   Risk and internal controls   •   Legal research   •   Board meeting administration   •   Board Management Software (Diligent, Boardvantage)   •   ASIC company registry portals   •   Document management systems   •   SharePoint   •   Stakeholder management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Company Secretary</w:t>
      </w:r>
      <w:r>
        <w:t>, [Company Name], [City]</w:t>
      </w:r>
      <w:r>
        <w:rPr>
          <w:i/>
        </w:rPr>
        <w:tab/>
        <w:t>[Month Year] – [Month Year / Present]</w:t>
      </w:r>
    </w:p>
    <w:p>
      <w:pPr>
        <w:pStyle w:val="ListBullet"/>
        <w:spacing w:after="80" w:line="276" w:lineRule="auto"/>
      </w:pPr>
      <w:r>
        <w:t>Prepared and distributed board papers, agendas and minutes for board and committee meetings, keeping documentation consistent with governance policy</w:t>
      </w:r>
    </w:p>
    <w:p>
      <w:pPr>
        <w:pStyle w:val="ListBullet"/>
        <w:spacing w:after="80" w:line="276" w:lineRule="auto"/>
      </w:pPr>
      <w:r>
        <w:t>Maintained statutory registers and constitutional records, resolving discrepancies before they became compliance issues</w:t>
      </w:r>
    </w:p>
    <w:p>
      <w:pPr>
        <w:pStyle w:val="ListBullet"/>
        <w:spacing w:after="80" w:line="276" w:lineRule="auto"/>
      </w:pPr>
      <w:r>
        <w:t>Coordinated annual general meetings and shareholder communications, cutting turnaround time on notice-of-meeting documentation</w:t>
      </w:r>
    </w:p>
    <w:p>
      <w:pPr>
        <w:pStyle w:val="ListBullet"/>
        <w:spacing w:after="80" w:line="276" w:lineRule="auto"/>
      </w:pPr>
      <w:r>
        <w:t>Liaised with ASIC, auditors and legal advisors on compliance matters, closing out regulatory queries within required timeframes</w:t>
      </w:r>
    </w:p>
    <w:p>
      <w:pPr>
        <w:pStyle w:val="ListBullet"/>
        <w:spacing w:after="80" w:line="276" w:lineRule="auto"/>
      </w:pPr>
      <w:r>
        <w:t>Advised the board on governance policy and risk frameworks, supporting a reduction in overdue compliance actions</w:t>
      </w:r>
    </w:p>
    <w:p>
      <w:pPr>
        <w:pStyle w:val="ListBullet"/>
        <w:spacing w:after="240" w:line="276" w:lineRule="auto"/>
      </w:pPr>
      <w:r>
        <w:t>Managed board management software (Diligent, Boardvantage) to distribute papers securely and track director sign-off</w:t>
      </w:r>
    </w:p>
    <w:p>
      <w:pPr>
        <w:spacing w:before="280" w:after="120"/>
        <w:jc w:val="left"/>
        <w:pBdr>
          <w:bottom w:val="single" w:sz="6" w:space="4" w:color="DFDED8"/>
        </w:pBdr>
      </w:pPr>
      <w:r>
        <w:rPr>
          <w:b/>
          <w:color w:val="2F62D9"/>
          <w:sz w:val="22"/>
        </w:rPr>
        <w:t>EDUCATION</w:t>
      </w:r>
    </w:p>
    <w:p>
      <w:pPr>
        <w:spacing w:before="0" w:after="200"/>
        <w:jc w:val="left"/>
      </w:pPr>
      <w:r>
        <w:t>Typically a bachelor degree in law, commerce or business, often followed by Governance Institute of Australia (GIA) certification or Chartered Governance qualification; some enter via diploma-level company secretarial practice combined with several years' governance or legal support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