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Conservator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Conservator with postgraduate training in cultural materials conservation and hands-on experience treating and stabilising collection material across paper, textile and mixed-media objects. Works at the intersection of scientific analysis and craft, using instruments such as XRF and FTIR to inform treatment decisions and documenting everything in TMS so treatment histories remain traceable. Focused on preventive care and reversible intervention that keeps objects accessible without compromising their long-term integrity.</w:t>
      </w:r>
    </w:p>
    <w:p>
      <w:pPr>
        <w:spacing w:before="280" w:after="120"/>
        <w:jc w:val="left"/>
        <w:pBdr>
          <w:bottom w:val="single" w:sz="6" w:space="4" w:color="DFDED8"/>
        </w:pBdr>
      </w:pPr>
      <w:r>
        <w:rPr>
          <w:b/>
          <w:color w:val="2F62D9"/>
          <w:sz w:val="22"/>
        </w:rPr>
        <w:t>KEY SKILLS</w:t>
      </w:r>
    </w:p>
    <w:p>
      <w:pPr>
        <w:spacing w:before="0" w:after="200"/>
        <w:jc w:val="left"/>
      </w:pPr>
      <w:r>
        <w:t>Preventive conservation and collection care   •   Condition assessment and treatment documentation   •   Remedial treatment of paper, textile and mixed-media objects   •   Reversibility and minimal intervention principles   •   Environmental monitoring (temperature, relative humidity, light, pests)   •   Laboratory analysis using XRF and FTIR spectroscopy   •   Materials identification and solvent compatibility testing   •   Emergency salvage and disaster response for collection material   •   Handling, mounting, packing and loan transit advice   •   Treatment project management and exhibition deadlines   •   Compliance with collection care standards and loan agreements   •   The Museum System (TMS)   •   Adobe Photoshop for before-and-after treatment imaging   •   ImageJ for surface and damage analysis   •   X-ray fluorescence (XRF) spectrometer   •   FTIR spectrometer   •   Environmental data loggers and light meters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Conservator</w:t>
      </w:r>
      <w:r>
        <w:t>, [Company Name], [City]</w:t>
      </w:r>
      <w:r>
        <w:rPr>
          <w:i/>
        </w:rPr>
        <w:tab/>
        <w:t>[Month Year] – [Month Year / Present]</w:t>
      </w:r>
    </w:p>
    <w:p>
      <w:pPr>
        <w:pStyle w:val="ListBullet"/>
        <w:spacing w:after="80" w:line="276" w:lineRule="auto"/>
      </w:pPr>
      <w:r>
        <w:t>Assessed the condition of incoming collection material and produced condition reports that curators used to set display priorities and loan approvals.</w:t>
      </w:r>
    </w:p>
    <w:p>
      <w:pPr>
        <w:pStyle w:val="ListBullet"/>
        <w:spacing w:after="80" w:line="276" w:lineRule="auto"/>
      </w:pPr>
      <w:r>
        <w:t>Cleaned, stabilised and repaired deteriorating objects using reversible treatments, returning items to display without further loss of original material.</w:t>
      </w:r>
    </w:p>
    <w:p>
      <w:pPr>
        <w:pStyle w:val="ListBullet"/>
        <w:spacing w:after="80" w:line="276" w:lineRule="auto"/>
      </w:pPr>
      <w:r>
        <w:t>Monitored temperature, relative humidity and light levels across storage and gallery spaces, adjusting enclosures and climate settings before fluctuations caused damage.</w:t>
      </w:r>
    </w:p>
    <w:p>
      <w:pPr>
        <w:pStyle w:val="ListBullet"/>
        <w:spacing w:after="80" w:line="276" w:lineRule="auto"/>
      </w:pPr>
      <w:r>
        <w:t>Analysed pigments, corrosion products and coatings with XRF and FTIR to guide treatment choices and rule out incompatible solvents.</w:t>
      </w:r>
    </w:p>
    <w:p>
      <w:pPr>
        <w:pStyle w:val="ListBullet"/>
        <w:spacing w:after="80" w:line="276" w:lineRule="auto"/>
      </w:pPr>
      <w:r>
        <w:t>Recorded examinations and treatments in TMS with before-and-after photography in Photoshop, keeping treatment histories clear for the conservators who follow.</w:t>
      </w:r>
    </w:p>
    <w:p>
      <w:pPr>
        <w:pStyle w:val="ListBullet"/>
        <w:spacing w:after="80" w:line="276" w:lineRule="auto"/>
      </w:pPr>
      <w:r>
        <w:t>Advised registrars and installation crews on safe handling, mounting and packing for loan transit, reducing handling incidents during exhibition changeovers.</w:t>
      </w:r>
    </w:p>
    <w:p>
      <w:pPr>
        <w:pStyle w:val="ListBullet"/>
        <w:spacing w:after="80" w:line="276" w:lineRule="auto"/>
      </w:pPr>
      <w:r>
        <w:t>Coordinated the salvage response for water-affected collection material, triaging items and organising drying and freezing within the first two days of the incident.</w:t>
      </w:r>
    </w:p>
    <w:p>
      <w:pPr>
        <w:pStyle w:val="ListBullet"/>
        <w:spacing w:after="240" w:line="276" w:lineRule="auto"/>
      </w:pPr>
      <w:r>
        <w:t>Managed treatment schedules, materials and external contractors across concurrent exhibition projects, delivering work to agreed installation dates.</w:t>
      </w:r>
    </w:p>
    <w:p>
      <w:pPr>
        <w:spacing w:before="280" w:after="120"/>
        <w:jc w:val="left"/>
        <w:pBdr>
          <w:bottom w:val="single" w:sz="6" w:space="4" w:color="DFDED8"/>
        </w:pBdr>
      </w:pPr>
      <w:r>
        <w:rPr>
          <w:b/>
          <w:color w:val="2F62D9"/>
          <w:sz w:val="22"/>
        </w:rPr>
        <w:t>EDUCATION</w:t>
      </w:r>
    </w:p>
    <w:p>
      <w:pPr>
        <w:spacing w:before="0" w:after="200"/>
        <w:jc w:val="left"/>
      </w:pPr>
      <w:r>
        <w:t>Bachelor degree in science, art history, fine arts or a related field, followed by postgraduate training in cultural materials conservation such as a Master of Cultural Materials Conservation; some technical roles accept a diploma combined with supervised treatment experience.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