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Conveyancer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Licensed conveyancer experienced in managing residential and commercial property transactions from contract review through to settlement. Skilled in title searches, contract drafting and coordinating with lenders, agents and land titles offices to keep transactions compliant and on schedule. Known for close attention to detail and clear client communication through what is often a stressful process.</w:t>
      </w:r>
    </w:p>
    <w:p>
      <w:pPr>
        <w:spacing w:before="280" w:after="120"/>
        <w:jc w:val="left"/>
        <w:pBdr>
          <w:bottom w:val="single" w:sz="6" w:space="4" w:color="DFDED8"/>
        </w:pBdr>
      </w:pPr>
      <w:r>
        <w:rPr>
          <w:b/>
          <w:color w:val="2F62D9"/>
          <w:sz w:val="22"/>
        </w:rPr>
        <w:t>KEY SKILLS</w:t>
      </w:r>
    </w:p>
    <w:p>
      <w:pPr>
        <w:spacing w:before="0" w:after="200"/>
        <w:jc w:val="left"/>
      </w:pPr>
      <w:r>
        <w:t>Legal research   •   Drafting and contracts   •   Regulatory and administrative law   •   Regulatory compliance   •   Title search databases (state-based)   •   LEAP legal practice management software   •   Electronic settlement systems (PEXA)   •   Client relationships and advisory   •   Stakeholder management   •   Written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Conveyancer</w:t>
      </w:r>
      <w:r>
        <w:t>, [Company Name], [City]</w:t>
      </w:r>
      <w:r>
        <w:rPr>
          <w:i/>
        </w:rPr>
        <w:tab/>
        <w:t>[Month Year] – [Month Year / Present]</w:t>
      </w:r>
    </w:p>
    <w:p>
      <w:pPr>
        <w:pStyle w:val="ListBullet"/>
        <w:spacing w:after="80" w:line="276" w:lineRule="auto"/>
      </w:pPr>
      <w:r>
        <w:t>Prepared and reviewed contracts of sale and mortgage documents for residential and commercial transactions, checking clauses against current state legislation before exchange</w:t>
      </w:r>
    </w:p>
    <w:p>
      <w:pPr>
        <w:pStyle w:val="ListBullet"/>
        <w:spacing w:after="80" w:line="276" w:lineRule="auto"/>
      </w:pPr>
      <w:r>
        <w:t>Conducted title searches and analysed ownership records to identify caveats, easements and encumbrances ahead of settlement, flagging issues to clients before contracts were signed</w:t>
      </w:r>
    </w:p>
    <w:p>
      <w:pPr>
        <w:pStyle w:val="ListBullet"/>
        <w:spacing w:after="80" w:line="276" w:lineRule="auto"/>
      </w:pPr>
      <w:r>
        <w:t>Managed end-to-end settlement processes, coordinating fund transfers between banks, agents and clients through electronic settlement platforms to meet agreed settlement dates</w:t>
      </w:r>
    </w:p>
    <w:p>
      <w:pPr>
        <w:pStyle w:val="ListBullet"/>
        <w:spacing w:after="80" w:line="276" w:lineRule="auto"/>
      </w:pPr>
      <w:r>
        <w:t>Advised clients in plain language on their legal obligations and the financial implications of sale and purchase contracts, reducing the number of settlement delays caused by unresolved client queries</w:t>
      </w:r>
    </w:p>
    <w:p>
      <w:pPr>
        <w:pStyle w:val="ListBullet"/>
        <w:spacing w:after="80" w:line="276" w:lineRule="auto"/>
      </w:pPr>
      <w:r>
        <w:t>Lodged transfer, mortgage and discharge documents with the relevant land titles office and monitored registration progress through to completion</w:t>
      </w:r>
    </w:p>
    <w:p>
      <w:pPr>
        <w:pStyle w:val="ListBullet"/>
        <w:spacing w:after="240" w:line="276" w:lineRule="auto"/>
      </w:pPr>
      <w:r>
        <w:t>Maintained accurate file records and client trust account entries in line with state conveyancing legislation and audit requirements</w:t>
      </w:r>
    </w:p>
    <w:p>
      <w:pPr>
        <w:spacing w:before="280" w:after="120"/>
        <w:jc w:val="left"/>
        <w:pBdr>
          <w:bottom w:val="single" w:sz="6" w:space="4" w:color="DFDED8"/>
        </w:pBdr>
      </w:pPr>
      <w:r>
        <w:rPr>
          <w:b/>
          <w:color w:val="2F62D9"/>
          <w:sz w:val="22"/>
        </w:rPr>
        <w:t>EDUCATION</w:t>
      </w:r>
    </w:p>
    <w:p>
      <w:pPr>
        <w:spacing w:before="0" w:after="200"/>
        <w:jc w:val="left"/>
      </w:pPr>
      <w:r>
        <w:t>Advanced Diploma of Conveyancing (or equivalent unit-based qualification) plus state-based licensing, such as registration with NSW Fair Trading, Consumer Affairs Victoria or the relevant state Law Society; some practitioners enter via a Bachelor of Laws and work as solicitor-conveyancers.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