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Counsellor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Accredited counsellor with experience delivering evidence-based therapeutic support to individuals, couples and families across community health and clinical settings. Skilled in conducting assessments, building treatment plans and maintaining rigorous case documentation while working within professional and ethical frameworks. Comfortable coordinating with allied health professionals to deliver consistent, wraparound client care.</w:t>
      </w:r>
    </w:p>
    <w:p>
      <w:pPr>
        <w:spacing w:before="280" w:after="120"/>
        <w:jc w:val="left"/>
        <w:pBdr>
          <w:bottom w:val="single" w:sz="6" w:space="4" w:color="DFDED8"/>
        </w:pBdr>
      </w:pPr>
      <w:r>
        <w:rPr>
          <w:b/>
          <w:color w:val="2F62D9"/>
          <w:sz w:val="22"/>
        </w:rPr>
        <w:t>KEY SKILLS</w:t>
      </w:r>
    </w:p>
    <w:p>
      <w:pPr>
        <w:spacing w:before="0" w:after="200"/>
        <w:jc w:val="left"/>
      </w:pPr>
      <w:r>
        <w:t>Individual and family counselling   •   Therapeutic assessment and treatment planning   •   Pastoral care and wellbeing support   •   Case note and clinical documentation   •   Regulatory and ethical compliance (PACFA/CCAA)   •   Client management software (Casenotes, Psychology Tools)   •   Psychometric and assessment tools   •   Video conferencing platforms for telehealth   •   Stakeholder liaison with allied health services   •   Active listening and rapport building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Counsellor</w:t>
      </w:r>
      <w:r>
        <w:t>, [Company Name], [City]</w:t>
      </w:r>
      <w:r>
        <w:rPr>
          <w:i/>
        </w:rPr>
        <w:tab/>
        <w:t>[Month Year] – [Month Year / Present]</w:t>
      </w:r>
    </w:p>
    <w:p>
      <w:pPr>
        <w:pStyle w:val="ListBullet"/>
        <w:spacing w:after="80" w:line="276" w:lineRule="auto"/>
      </w:pPr>
      <w:r>
        <w:t>Conducted initial assessments with new clients to identify needs, risk factors and appropriate therapeutic pathways</w:t>
      </w:r>
    </w:p>
    <w:p>
      <w:pPr>
        <w:pStyle w:val="ListBullet"/>
        <w:spacing w:after="80" w:line="276" w:lineRule="auto"/>
      </w:pPr>
      <w:r>
        <w:t>Delivered one-on-one and family counselling sessions using established frameworks such as CBT and person-centred therapy, supporting clients through sustained behaviour change</w:t>
      </w:r>
    </w:p>
    <w:p>
      <w:pPr>
        <w:pStyle w:val="ListBullet"/>
        <w:spacing w:after="80" w:line="276" w:lineRule="auto"/>
      </w:pPr>
      <w:r>
        <w:t>Developed and reviewed individualised treatment plans across multi-session client journeys, adjusting interventions based on documented progress</w:t>
      </w:r>
    </w:p>
    <w:p>
      <w:pPr>
        <w:pStyle w:val="ListBullet"/>
        <w:spacing w:after="80" w:line="276" w:lineRule="auto"/>
      </w:pPr>
      <w:r>
        <w:t>Maintained detailed, confidential clinical notes in line with professional body standards and privacy legislation</w:t>
      </w:r>
    </w:p>
    <w:p>
      <w:pPr>
        <w:pStyle w:val="ListBullet"/>
        <w:spacing w:after="80" w:line="276" w:lineRule="auto"/>
      </w:pPr>
      <w:r>
        <w:t>Liaised with GPs, psychologists and community agencies to coordinate wraparound support for clients with complex needs</w:t>
      </w:r>
    </w:p>
    <w:p>
      <w:pPr>
        <w:pStyle w:val="ListBullet"/>
        <w:spacing w:after="240" w:line="276" w:lineRule="auto"/>
      </w:pPr>
      <w:r>
        <w:t>Participated in regular clinical supervision to review case load and maintain best-practice standards</w:t>
      </w:r>
    </w:p>
    <w:p>
      <w:pPr>
        <w:spacing w:before="280" w:after="120"/>
        <w:jc w:val="left"/>
        <w:pBdr>
          <w:bottom w:val="single" w:sz="6" w:space="4" w:color="DFDED8"/>
        </w:pBdr>
      </w:pPr>
      <w:r>
        <w:rPr>
          <w:b/>
          <w:color w:val="2F62D9"/>
          <w:sz w:val="22"/>
        </w:rPr>
        <w:t>EDUCATION</w:t>
      </w:r>
    </w:p>
    <w:p>
      <w:pPr>
        <w:spacing w:before="0" w:after="200"/>
        <w:jc w:val="left"/>
      </w:pPr>
      <w:r>
        <w:t>Typical pathway is a Bachelor degree in Counselling, Psychology or a related discipline, often followed by postgraduate study, with accreditation through PACFA or CCAA required for most practising roles.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