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Credit Controller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Credit Controller with experience assessing trade credit applications, setting credit limits and managing aged receivables across commercial accounts. Known for negotiating payment plans that recover overdue debt while preserving customer relationships, and for preparing credit reports and loss provision analyses that management can act on. Comfortable working in SAP or Oracle, Excel and CRM systems, with a practical understanding of Australian credit reporting and privacy obligations.</w:t>
      </w:r>
    </w:p>
    <w:p>
      <w:pPr>
        <w:spacing w:before="280" w:after="120"/>
        <w:jc w:val="left"/>
        <w:pBdr>
          <w:bottom w:val="single" w:sz="6" w:space="4" w:color="DFDED8"/>
        </w:pBdr>
      </w:pPr>
      <w:r>
        <w:rPr>
          <w:b/>
          <w:color w:val="2F62D9"/>
          <w:sz w:val="22"/>
        </w:rPr>
        <w:t>KEY SKILLS</w:t>
      </w:r>
    </w:p>
    <w:p>
      <w:pPr>
        <w:spacing w:before="0" w:after="200"/>
        <w:jc w:val="left"/>
      </w:pPr>
      <w:r>
        <w:t>Credit assessment and limit setting   •   Aged receivables management and collections   •   Payment plan negotiation and hardship discussions   •   Credit reporting and financial analysis   •   Bookkeeping and general ledger reconciliation   •   Regulatory compliance including Privacy Act and credit reporting   •   SAP or Oracle ERP systems   •   Excel and financial dashboards   •   Dun and Bradstreet credit reporting   •   CRM software   •   ASIC company searches and PPSR checks   •   Stakeholder management and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Credit Controller</w:t>
      </w:r>
      <w:r>
        <w:t>, [Company Name], [City]</w:t>
      </w:r>
      <w:r>
        <w:rPr>
          <w:i/>
        </w:rPr>
        <w:tab/>
        <w:t>[Month Year] – [Month Year / Present]</w:t>
      </w:r>
    </w:p>
    <w:p>
      <w:pPr>
        <w:pStyle w:val="ListBullet"/>
        <w:spacing w:after="80" w:line="276" w:lineRule="auto"/>
      </w:pPr>
      <w:r>
        <w:t>Assessed commercial credit applications and recommended limits, balancing sales opportunities against exposure to high risk accounts.</w:t>
      </w:r>
    </w:p>
    <w:p>
      <w:pPr>
        <w:pStyle w:val="ListBullet"/>
        <w:spacing w:after="80" w:line="276" w:lineRule="auto"/>
      </w:pPr>
      <w:r>
        <w:t>Monitored aged receivables and prioritised follow-up by value, ageing and customer history, escalating only the accounts that needed a credit manager decision.</w:t>
      </w:r>
    </w:p>
    <w:p>
      <w:pPr>
        <w:pStyle w:val="ListBullet"/>
        <w:spacing w:after="80" w:line="276" w:lineRule="auto"/>
      </w:pPr>
      <w:r>
        <w:t>Negotiated payment plans with customers in financial difficulty, recovering overdue invoices while keeping several long-term trading relationships intact.</w:t>
      </w:r>
    </w:p>
    <w:p>
      <w:pPr>
        <w:pStyle w:val="ListBullet"/>
        <w:spacing w:after="80" w:line="276" w:lineRule="auto"/>
      </w:pPr>
      <w:r>
        <w:t>Prepared monthly credit reports and loss provision analyses for management, highlighting movement in doubtful debts and supporting well documented write-off recommendations.</w:t>
      </w:r>
    </w:p>
    <w:p>
      <w:pPr>
        <w:pStyle w:val="ListBullet"/>
        <w:spacing w:after="80" w:line="276" w:lineRule="auto"/>
      </w:pPr>
      <w:r>
        <w:t>Maintained customer account status and write-off records in SAP, ensuring the ledger stayed accurate and audit ready.</w:t>
      </w:r>
    </w:p>
    <w:p>
      <w:pPr>
        <w:pStyle w:val="ListBullet"/>
        <w:spacing w:after="240" w:line="276" w:lineRule="auto"/>
      </w:pPr>
      <w:r>
        <w:t>Built Excel dashboards to track days sales outstanding and ageing buckets, giving the finance team a clearer view of cash flow risk.</w:t>
      </w:r>
    </w:p>
    <w:p>
      <w:pPr>
        <w:spacing w:before="280" w:after="120"/>
        <w:jc w:val="left"/>
        <w:pBdr>
          <w:bottom w:val="single" w:sz="6" w:space="4" w:color="DFDED8"/>
        </w:pBdr>
      </w:pPr>
      <w:r>
        <w:rPr>
          <w:b/>
          <w:color w:val="2F62D9"/>
          <w:sz w:val="22"/>
        </w:rPr>
        <w:t>EDUCATION</w:t>
      </w:r>
    </w:p>
    <w:p>
      <w:pPr>
        <w:spacing w:before="0" w:after="200"/>
        <w:jc w:val="left"/>
      </w:pPr>
      <w:r>
        <w:t>A bachelor degree in accounting, finance, business or commerce is common, though many credit controllers enter with Year 12 and build experience through accounts roles and vocational study such as a Certificate IV in Accounting and Bookkeeping or a Diploma of Accounting.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