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Curator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Curator with experience across collection management, exhibition development and interpretive writing in cultural institutions. Skilled at coordinating loans, design and installation while keeping research and public engagement at the centre of the work. Comfortable working with artists, lenders and community groups to make collections meaningful for diverse audiences.</w:t>
      </w:r>
    </w:p>
    <w:p>
      <w:pPr>
        <w:spacing w:before="280" w:after="120"/>
        <w:jc w:val="left"/>
        <w:pBdr>
          <w:bottom w:val="single" w:sz="6" w:space="4" w:color="DFDED8"/>
        </w:pBdr>
      </w:pPr>
      <w:r>
        <w:rPr>
          <w:b/>
          <w:color w:val="2F62D9"/>
          <w:sz w:val="22"/>
        </w:rPr>
        <w:t>KEY SKILLS</w:t>
      </w:r>
    </w:p>
    <w:p>
      <w:pPr>
        <w:spacing w:before="0" w:after="200"/>
        <w:jc w:val="left"/>
      </w:pPr>
      <w:r>
        <w:t>Exhibition development and project management   •   Collection documentation and cataloguing   •   Provenance research and due diligence   •   Loan negotiation and condition reporting   •   Interpretive writing and catalogue texts   •   Community and stakeholder engagement   •   Axiell Collections   •   The Museum System (TMS)   •   Vernon CMS   •   Adobe Creative Cloud (InDesign, Photoshop)   •   Microsoft Office   •   Copyright and cultural protocols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Curator</w:t>
      </w:r>
      <w:r>
        <w:t>, [Company Name], [City]</w:t>
      </w:r>
      <w:r>
        <w:rPr>
          <w:i/>
        </w:rPr>
        <w:tab/>
        <w:t>[Month Year] – [Month Year / Present]</w:t>
      </w:r>
    </w:p>
    <w:p>
      <w:pPr>
        <w:pStyle w:val="ListBullet"/>
        <w:spacing w:after="80" w:line="276" w:lineRule="auto"/>
      </w:pPr>
      <w:r>
        <w:t>Developed exhibition concepts from research brief to installation, coordinating design, loans and labels across a schedule that ran for more than a year.</w:t>
      </w:r>
    </w:p>
    <w:p>
      <w:pPr>
        <w:pStyle w:val="ListBullet"/>
        <w:spacing w:after="80" w:line="276" w:lineRule="auto"/>
      </w:pPr>
      <w:r>
        <w:t>Documented and catalogued a collection of several thousand objects in Axiell Collections, improving record accuracy and making items easier to find for research and display.</w:t>
      </w:r>
    </w:p>
    <w:p>
      <w:pPr>
        <w:pStyle w:val="ListBullet"/>
        <w:spacing w:after="80" w:line="276" w:lineRule="auto"/>
      </w:pPr>
      <w:r>
        <w:t>Secured loans from interstate and overseas institutions by preparing condition reports, negotiating agreements and managing transport and insurance requirements.</w:t>
      </w:r>
    </w:p>
    <w:p>
      <w:pPr>
        <w:pStyle w:val="ListBullet"/>
        <w:spacing w:after="80" w:line="276" w:lineRule="auto"/>
      </w:pPr>
      <w:r>
        <w:t>Wrote catalogue essays and interpretive text for a touring exhibition that travelled to four regional venues, adapting content for different audiences.</w:t>
      </w:r>
    </w:p>
    <w:p>
      <w:pPr>
        <w:pStyle w:val="ListBullet"/>
        <w:spacing w:after="80" w:line="276" w:lineRule="auto"/>
      </w:pPr>
      <w:r>
        <w:t>Led community consultation with local Aboriginal and Torres Strait Islander groups to shape exhibition content, protocols and public programs.</w:t>
      </w:r>
    </w:p>
    <w:p>
      <w:pPr>
        <w:pStyle w:val="ListBullet"/>
        <w:spacing w:after="240" w:line="276" w:lineRule="auto"/>
      </w:pPr>
      <w:r>
        <w:t>Managed exhibition budgets and schedules, reducing last-minute installation changes by bringing registrars, designers and conservators into planning early.</w:t>
      </w:r>
    </w:p>
    <w:p>
      <w:pPr>
        <w:spacing w:before="280" w:after="120"/>
        <w:jc w:val="left"/>
        <w:pBdr>
          <w:bottom w:val="single" w:sz="6" w:space="4" w:color="DFDED8"/>
        </w:pBdr>
      </w:pPr>
      <w:r>
        <w:rPr>
          <w:b/>
          <w:color w:val="2F62D9"/>
          <w:sz w:val="22"/>
        </w:rPr>
        <w:t>EDUCATION</w:t>
      </w:r>
    </w:p>
    <w:p>
      <w:pPr>
        <w:spacing w:before="0" w:after="200"/>
        <w:jc w:val="left"/>
      </w:pPr>
      <w:r>
        <w:t>A postgraduate qualification in museum studies, curatorship or a related field is the common pathway, often following an honours or bachelor degree in art history, history, archaeology or a cognate discipline.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