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Customer Success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Customer success manager with a background in software and professional services, focused on helping clients adopt a product, hit their goals and renew with confidence. Comfortable sitting between sales, support and product, translating client feedback into action and using health metrics to spot risk early. Known for calm, practical account management and clear written communication.</w:t>
      </w:r>
    </w:p>
    <w:p>
      <w:pPr>
        <w:spacing w:before="280" w:after="120"/>
        <w:jc w:val="left"/>
        <w:pBdr>
          <w:bottom w:val="single" w:sz="6" w:space="4" w:color="DFDED8"/>
        </w:pBdr>
      </w:pPr>
      <w:r>
        <w:rPr>
          <w:b/>
          <w:color w:val="2F62D9"/>
          <w:sz w:val="22"/>
        </w:rPr>
        <w:t>KEY SKILLS</w:t>
      </w:r>
    </w:p>
    <w:p>
      <w:pPr>
        <w:spacing w:before="0" w:after="200"/>
        <w:jc w:val="left"/>
      </w:pPr>
      <w:r>
        <w:t>Account and relationship management   •   Customer health monitoring and churn risk analysis   •   Data analysis and reporting   •   Renewal forecasting and negotiation   •   Expansion and upsell conversations   •   Salesforce   •   HubSpot   •   Gainsight   •   Slack   •   Google Analytics   •   Customer onboarding and product adoption   •   Quarterly business reviews   •   Stakeholder management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Customer Success Manager</w:t>
      </w:r>
      <w:r>
        <w:t>, [Company Name], [City]</w:t>
      </w:r>
      <w:r>
        <w:rPr>
          <w:i/>
        </w:rPr>
        <w:tab/>
        <w:t>[Month Year] – [Month Year / Present]</w:t>
      </w:r>
    </w:p>
    <w:p>
      <w:pPr>
        <w:pStyle w:val="ListBullet"/>
        <w:spacing w:after="80" w:line="276" w:lineRule="auto"/>
      </w:pPr>
      <w:r>
        <w:t>Managed a portfolio of client accounts and ran regular check-ins against agreed success plans, keeping renewals on track and identifying expansion opportunities as they emerged.</w:t>
      </w:r>
    </w:p>
    <w:p>
      <w:pPr>
        <w:pStyle w:val="ListBullet"/>
        <w:spacing w:after="80" w:line="276" w:lineRule="auto"/>
      </w:pPr>
      <w:r>
        <w:t>Monitored customer health metrics and engagement patterns in Gainsight and Salesforce, flagging accounts at risk of leaving so the team could intervene before renewal conversations began.</w:t>
      </w:r>
    </w:p>
    <w:p>
      <w:pPr>
        <w:pStyle w:val="ListBullet"/>
        <w:spacing w:after="80" w:line="276" w:lineRule="auto"/>
      </w:pPr>
      <w:r>
        <w:t>Coordinated onboarding and training for new customers, working with support and product teams to remove blockers and help users reach full product adoption faster.</w:t>
      </w:r>
    </w:p>
    <w:p>
      <w:pPr>
        <w:pStyle w:val="ListBullet"/>
        <w:spacing w:after="80" w:line="276" w:lineRule="auto"/>
      </w:pPr>
      <w:r>
        <w:t>Gathered customer feedback and escalated recurring product or service issues to the relevant teams, then closed the loop with clients once fixes were in place.</w:t>
      </w:r>
    </w:p>
    <w:p>
      <w:pPr>
        <w:pStyle w:val="ListBullet"/>
        <w:spacing w:after="80" w:line="276" w:lineRule="auto"/>
      </w:pPr>
      <w:r>
        <w:t>Forecast renewal likelihood and prepared expansion proposals for accounts ready to grow, supporting negotiation with clear data on usage and outcomes.</w:t>
      </w:r>
    </w:p>
    <w:p>
      <w:pPr>
        <w:pStyle w:val="ListBullet"/>
        <w:spacing w:after="240" w:line="276" w:lineRule="auto"/>
      </w:pPr>
      <w:r>
        <w:t>Built quarterly business reviews that tied product usage back to the client's own goals, giving them a practical reason to continue and grow the relationship.</w:t>
      </w:r>
    </w:p>
    <w:p>
      <w:pPr>
        <w:spacing w:before="280" w:after="120"/>
        <w:jc w:val="left"/>
        <w:pBdr>
          <w:bottom w:val="single" w:sz="6" w:space="4" w:color="DFDED8"/>
        </w:pBdr>
      </w:pPr>
      <w:r>
        <w:rPr>
          <w:b/>
          <w:color w:val="2F62D9"/>
          <w:sz w:val="22"/>
        </w:rPr>
        <w:t>EDUCATION</w:t>
      </w:r>
    </w:p>
    <w:p>
      <w:pPr>
        <w:spacing w:before="0" w:after="200"/>
        <w:jc w:val="left"/>
      </w:pPr>
      <w:r>
        <w:t>Typical qualification pathways include a bachelor degree in business, commerce, marketing or a related discipline, a diploma or advanced diploma in business or management, or certificate IV qualifications combined with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