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Customs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Customs Officer with experience enforcing quarantine, security and revenue law across passenger and cargo channels. Skilled in tariff classification, risk profiling and interview technique, with a track record of detecting non-compliance without disrupting legitimate trade. Comfortable working under strict procedural frameworks and giving evidence for prosecution or seizure action.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and risk profiling   •   Tariff classification and duty assessment   •   Interviewing and detecting deceptive declarations   •   X-ray and scanning equipment operation   •   ASYCUDA and integrated cargo system use   •   Report writing for seizure and prosecution   •   Stakeholder management with importers and agents   •   Attention to detail under time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Customs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Inspected passenger baggage and cargo against prohibited and restricted items lists, referring high-risk consignments for secondary examination in line with Biosecurity Act requirements</w:t>
      </w:r>
    </w:p>
    <w:p>
      <w:pPr>
        <w:pStyle w:val="ListBullet"/>
        <w:spacing w:after="80" w:line="276" w:lineRule="auto"/>
      </w:pPr>
      <w:r>
        <w:t>Assessed duties and taxes on imported goods using tariff classification and valuation rules, correcting misdeclared entries before release</w:t>
      </w:r>
    </w:p>
    <w:p>
      <w:pPr>
        <w:pStyle w:val="ListBullet"/>
        <w:spacing w:after="80" w:line="276" w:lineRule="auto"/>
      </w:pPr>
      <w:r>
        <w:t>Interviewed travellers and importers to verify declarations, identifying inconsistencies that led to further investigation and seizure of undeclared goods</w:t>
      </w:r>
    </w:p>
    <w:p>
      <w:pPr>
        <w:pStyle w:val="ListBullet"/>
        <w:spacing w:after="80" w:line="276" w:lineRule="auto"/>
      </w:pPr>
      <w:r>
        <w:t>Prepared documentation and evidence reports for prosecution and seizure matters, ensuring records met evidentiary standards for court</w:t>
      </w:r>
    </w:p>
    <w:p>
      <w:pPr>
        <w:pStyle w:val="ListBullet"/>
        <w:spacing w:after="80" w:line="276" w:lineRule="auto"/>
      </w:pPr>
      <w:r>
        <w:t>Operated X-ray and scanning equipment alongside manifest and cargo documentation systems to monitor freight movement through the port</w:t>
      </w:r>
    </w:p>
    <w:p>
      <w:pPr>
        <w:pStyle w:val="ListBullet"/>
        <w:spacing w:after="240" w:line="276" w:lineRule="auto"/>
      </w:pPr>
      <w:r>
        <w:t>Worked within a rostered shift environment covering arrivals, departures and cargo processing without lapses in coverage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Year 12 completion followed by the Australian Border Force recruit training program; many officers also hold a Certificate III/IV or Diploma in Government (Border Force Operations), with some progressing via a degree in criminology, international trade or justice studies.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