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Dental 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dental therapist with AHPRA and the Dental Board of Australia, working within a defined scope of practice to deliver preventive and basic restorative care, mainly to children and adolescents. Experienced in school dental programs and public clinics, with a focus on patient education, infection control and widening access to routine oral health care.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Infection control and hygiene   •   Health education and advice   •   Care planning and coordination   •   Titanium   •   EXACT   •   Dentally   •   Intraoral cameras   •   Dental radiography systems   •   Empathy and interpersonal care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Dental 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Examined teeth and gums and recorded treatment needs for a daily list of up to 12 children in a school dental program.</w:t>
      </w:r>
    </w:p>
    <w:p>
      <w:pPr>
        <w:pStyle w:val="ListBullet"/>
        <w:spacing w:after="80" w:line="276" w:lineRule="auto"/>
      </w:pPr>
      <w:r>
        <w:t>Applied fluoride varnish, fissure sealants and other preventive treatments, reducing the need for more invasive care in a paediatric caseload.</w:t>
      </w:r>
    </w:p>
    <w:p>
      <w:pPr>
        <w:pStyle w:val="ListBullet"/>
        <w:spacing w:after="80" w:line="276" w:lineRule="auto"/>
      </w:pPr>
      <w:r>
        <w:t>Placed fillings in deciduous and permanent teeth within scope of practice, coordinating with supervising dentists on complex cases.</w:t>
      </w:r>
    </w:p>
    <w:p>
      <w:pPr>
        <w:pStyle w:val="ListBullet"/>
        <w:spacing w:after="80" w:line="276" w:lineRule="auto"/>
      </w:pPr>
      <w:r>
        <w:t>Took and interpreted dental radiographs, ensuring clear images and accurate documentation in Titanium and EXACT.</w:t>
      </w:r>
    </w:p>
    <w:p>
      <w:pPr>
        <w:pStyle w:val="ListBullet"/>
        <w:spacing w:after="80" w:line="276" w:lineRule="auto"/>
      </w:pPr>
      <w:r>
        <w:t>Educated children, parents and carers on oral hygiene and diet, improving recall attendance through tailored advice and follow-up.</w:t>
      </w:r>
    </w:p>
    <w:p>
      <w:pPr>
        <w:pStyle w:val="ListBullet"/>
        <w:spacing w:after="240" w:line="276" w:lineRule="auto"/>
      </w:pPr>
      <w:r>
        <w:t>Maintained infection control and sterilisation processes to clinic standards, keeping the surgery audit-ready.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Oral Health (Dental Therapy) or equivalent, followed by registration with the Dental Board of Australia through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