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Disability Support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Disability Support Coordinator with a person centred approach to helping NDIS participants understand their funding, choose their providers and move toward the goals in their plan. Experienced across casework, care planning and regulatory compliance, with a steady hand on budgets and service agreements. Known for clear written communication with participants, families and providers, and for keeping the participant's voice at the centre of every decision.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Support coordination and casework   •   Care planning and coordination   •   NDIS funding and budget management   •   Regulatory compliance and NDIS Practice Standards   •   Service agreements and provider matching   •   Risk and safeguarding awareness   •   Report writing and plan reviews   •   Stakeholder management across families, providers and planners   •   NDIS Provider Portal   •   Lumary   •   ShiftCare   •   Salesforce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Disability Support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a caseload of participants with varied disability and psychosocial support needs, coordinating allied health, support work and community access services against each plan.</w:t>
      </w:r>
    </w:p>
    <w:p>
      <w:pPr>
        <w:pStyle w:val="ListBullet"/>
        <w:spacing w:after="80" w:line="276" w:lineRule="auto"/>
      </w:pPr>
      <w:r>
        <w:t>Rebuilt a support schedule for a participant whose providers had stopped communicating with each other, cutting missed shifts and bringing the plan back on track with funding still available at review.</w:t>
      </w:r>
    </w:p>
    <w:p>
      <w:pPr>
        <w:pStyle w:val="ListBullet"/>
        <w:spacing w:after="80" w:line="276" w:lineRule="auto"/>
      </w:pPr>
      <w:r>
        <w:t>Tracked plan budgets in Excel and Lumary, flagging underspend and overspend early so participants could redirect funding before the plan period closed.</w:t>
      </w:r>
    </w:p>
    <w:p>
      <w:pPr>
        <w:pStyle w:val="ListBullet"/>
        <w:spacing w:after="80" w:line="276" w:lineRule="auto"/>
      </w:pPr>
      <w:r>
        <w:t>Drafted and reviewed service agreements with new providers, checking insurance, worker screening and registration status before any support started.</w:t>
      </w:r>
    </w:p>
    <w:p>
      <w:pPr>
        <w:pStyle w:val="ListBullet"/>
        <w:spacing w:after="80" w:line="276" w:lineRule="auto"/>
      </w:pPr>
      <w:r>
        <w:t>Prepared plan review reports with evidence from providers, progress notes and participant feedback, giving NDIS planners a clear picture of what worked and what needed to change.</w:t>
      </w:r>
    </w:p>
    <w:p>
      <w:pPr>
        <w:pStyle w:val="ListBullet"/>
        <w:spacing w:after="240" w:line="276" w:lineRule="auto"/>
      </w:pPr>
      <w:r>
        <w:t>Supported participants and families through appeals and internal reviews of funding decisions, explaining each step in plain language and meeting every deadline.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Diploma of Community Services or a Certificate IV in Disability Support, with many coordinators also holding a Bachelor of Social Work, Psychology, Occupational Therapy or a related health degree. An NDIS Worker Screening Check and the NDIS Worker Orientation Module are standard requirements, and some roles ask for a current first aid certificate and a Working with Children Check.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