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Diversity and Inclusion Specialist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Diversity and Inclusion Specialist with a background in HR analytics and policy. I turn workforce demographic data into practical strategies that improve representation and belonging, and I advise leaders on equitable recruitment and anti-discrimination compliance. My approach is evidence-based, collaborative, and focused on changes that hold up over time.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Workforce demographic analysis   •   Diversity and inclusion strategy development   •   Anti-discrimination and equal opportunity compliance   •   Inclusive recruitment and selection advisory   •   Policy review and development   •   Training design and delivery   •   Stakeholder engagement and influence   •   Data storytelling and presentation   •   Workday   •   SAP SuccessFactors   •   Power BI   •   Tableau   •   Microsoft Excel (advanced)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Diversity and Inclusion Specialist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Analysed workforce demographic data across a 2,500-person organisation to identify underrepresentation in senior roles, leading to a targeted sponsorship program for 15 high-potential employees.</w:t>
      </w:r>
    </w:p>
    <w:p>
      <w:pPr>
        <w:pStyle w:val="ListBullet"/>
        <w:spacing w:after="80" w:line="276" w:lineRule="auto"/>
      </w:pPr>
      <w:r>
        <w:t>Designed and delivered inclusive leadership training to over 200 managers, which reduced reported experiences of bias in team surveys and increased uptake of flexible work arrangements.</w:t>
      </w:r>
    </w:p>
    <w:p>
      <w:pPr>
        <w:pStyle w:val="ListBullet"/>
        <w:spacing w:after="80" w:line="276" w:lineRule="auto"/>
      </w:pPr>
      <w:r>
        <w:t>Reviewed 35 HR policies against the Fair Work Act and state anti-discrimination legislation, updating parental leave and reasonable adjustment provisions.</w:t>
      </w:r>
    </w:p>
    <w:p>
      <w:pPr>
        <w:pStyle w:val="ListBullet"/>
        <w:spacing w:after="80" w:line="276" w:lineRule="auto"/>
      </w:pPr>
      <w:r>
        <w:t>Partnered with recruitment to revise job advertisements and interview guides, cutting time-to-shortlist for diverse candidates from six weeks to four.</w:t>
      </w:r>
    </w:p>
    <w:p>
      <w:pPr>
        <w:pStyle w:val="ListBullet"/>
        <w:spacing w:after="80" w:line="276" w:lineRule="auto"/>
      </w:pPr>
      <w:r>
        <w:t>Built a Power BI dashboard tracking representation, retention and belonging metrics, used by the executive team each quarter to inform people strategy.</w:t>
      </w:r>
    </w:p>
    <w:p>
      <w:pPr>
        <w:pStyle w:val="ListBullet"/>
        <w:spacing w:after="240" w:line="276" w:lineRule="auto"/>
      </w:pPr>
      <w:r>
        <w:t>Advised hiring managers on equitable recruitment for 40 roles, including structured interview design and diverse panel composition.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human resources, psychology, law, or a related field; many practitioners also hold a postgraduate qualification in HR or diversity management.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