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Electorate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Client services professional with experience in casework, community engagement and administrative support. Skilled at managing constituent enquiries, drafting correspondence and coordinating local events. Committed to helping constituents navigate government services and ensuring the Member stays connected with the community.</w:t>
      </w:r>
    </w:p>
    <w:p>
      <w:pPr>
        <w:spacing w:before="280" w:after="120"/>
        <w:jc w:val="left"/>
        <w:pBdr>
          <w:bottom w:val="single" w:sz="6" w:space="4" w:color="DFDED8"/>
        </w:pBdr>
      </w:pPr>
      <w:r>
        <w:rPr>
          <w:b/>
          <w:color w:val="2F62D9"/>
          <w:sz w:val="22"/>
        </w:rPr>
        <w:t>KEY SKILLS</w:t>
      </w:r>
    </w:p>
    <w:p>
      <w:pPr>
        <w:spacing w:before="0" w:after="200"/>
        <w:jc w:val="left"/>
      </w:pPr>
      <w:r>
        <w:t>Casework and client support   •   Community engagement   •   Policy analysis and advice   •   Written communication   •   Stakeholder management   •   Customer service   •   Attention to detail   •   Microsoft 365   •   Outlook   •   Constituent management systems   •   Parliamentary intranet and records systems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Electorate Officer</w:t>
      </w:r>
      <w:r>
        <w:t>, [Company Name], [City]</w:t>
      </w:r>
      <w:r>
        <w:rPr>
          <w:i/>
        </w:rPr>
        <w:tab/>
        <w:t>[Month Year] – [Month Year / Present]</w:t>
      </w:r>
    </w:p>
    <w:p>
      <w:pPr>
        <w:pStyle w:val="ListBullet"/>
        <w:spacing w:after="80" w:line="276" w:lineRule="auto"/>
      </w:pPr>
      <w:r>
        <w:t>Managed a caseload of constituent enquiries by phone, email and in person, resolving most within three business days.</w:t>
      </w:r>
    </w:p>
    <w:p>
      <w:pPr>
        <w:pStyle w:val="ListBullet"/>
        <w:spacing w:after="80" w:line="276" w:lineRule="auto"/>
      </w:pPr>
      <w:r>
        <w:t>Drafted correspondence on behalf of the Member, ensuring accuracy and adherence to parliamentary guidelines.</w:t>
      </w:r>
    </w:p>
    <w:p>
      <w:pPr>
        <w:pStyle w:val="ListBullet"/>
        <w:spacing w:after="80" w:line="276" w:lineRule="auto"/>
      </w:pPr>
      <w:r>
        <w:t>Coordinated community events and electorate visits, liaising with local groups and government agencies.</w:t>
      </w:r>
    </w:p>
    <w:p>
      <w:pPr>
        <w:pStyle w:val="ListBullet"/>
        <w:spacing w:after="80" w:line="276" w:lineRule="auto"/>
      </w:pPr>
      <w:r>
        <w:t>Maintained constituent records in the office database, improving data accuracy and retrieval for follow-up actions.</w:t>
      </w:r>
    </w:p>
    <w:p>
      <w:pPr>
        <w:pStyle w:val="ListBullet"/>
        <w:spacing w:after="240" w:line="276" w:lineRule="auto"/>
      </w:pPr>
      <w:r>
        <w:t>Liaised with government agencies to escalate and resolve complex constituent issues, keeping constituents informed throughout.</w:t>
      </w:r>
    </w:p>
    <w:p>
      <w:pPr>
        <w:spacing w:before="280" w:after="120"/>
        <w:jc w:val="left"/>
        <w:pBdr>
          <w:bottom w:val="single" w:sz="6" w:space="4" w:color="DFDED8"/>
        </w:pBdr>
      </w:pPr>
      <w:r>
        <w:rPr>
          <w:b/>
          <w:color w:val="2F62D9"/>
          <w:sz w:val="22"/>
        </w:rPr>
        <w:t>EDUCATION</w:t>
      </w:r>
    </w:p>
    <w:p>
      <w:pPr>
        <w:spacing w:before="0" w:after="200"/>
        <w:jc w:val="left"/>
      </w:pPr>
      <w:r>
        <w:t>A bachelor degree in political science, communications, public policy or a related field is common, though many enter with Year 12 and develop skills on the job. Relevant diplomas or certificates in government or community services also provide a pathway.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