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Endodontist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Endodontist with specialist registration and advanced training in diagnosing and treating diseases of the dental pulp and periapical tissues. Experienced in root canal treatment, endodontic microsurgery and the management of dental trauma. Focused on saving natural teeth and relieving severe dental pain through precise, patient-centred care.</w:t>
      </w:r>
    </w:p>
    <w:p>
      <w:pPr>
        <w:spacing w:before="280" w:after="120"/>
        <w:jc w:val="left"/>
        <w:pBdr>
          <w:bottom w:val="single" w:sz="6" w:space="4" w:color="DFDED8"/>
        </w:pBdr>
      </w:pPr>
      <w:r>
        <w:rPr>
          <w:b/>
          <w:color w:val="2F62D9"/>
          <w:sz w:val="22"/>
        </w:rPr>
        <w:t>KEY SKILLS</w:t>
      </w:r>
    </w:p>
    <w:p>
      <w:pPr>
        <w:spacing w:before="0" w:after="200"/>
        <w:jc w:val="left"/>
      </w:pPr>
      <w:r>
        <w:t>Patient care and support   •   Clinical assessment and treatment   •   Infection control and hygiene   •   Health education and advice   •   Dental operating microscope   •   Cone beam computed tomography (CBCT) systems   •   Rotary endodontic systems   •   Electronic apex locator   •   Dental practice management software   •   Attention to detail   •   Problem solving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Endodontist</w:t>
      </w:r>
      <w:r>
        <w:t>, [Company Name], [City]</w:t>
      </w:r>
      <w:r>
        <w:rPr>
          <w:i/>
        </w:rPr>
        <w:tab/>
        <w:t>[Month Year] – [Month Year / Present]</w:t>
      </w:r>
    </w:p>
    <w:p>
      <w:pPr>
        <w:pStyle w:val="ListBullet"/>
        <w:spacing w:after="80" w:line="276" w:lineRule="auto"/>
      </w:pPr>
      <w:r>
        <w:t>Diagnosed and treated diseases of the dental pulp and periapical tissues, saving natural teeth and relieving severe dental pain.</w:t>
      </w:r>
    </w:p>
    <w:p>
      <w:pPr>
        <w:pStyle w:val="ListBullet"/>
        <w:spacing w:after="80" w:line="276" w:lineRule="auto"/>
      </w:pPr>
      <w:r>
        <w:t>Performed root canal treatments using rotary and hand instruments, achieving predictable outcomes across simple and complex cases.</w:t>
      </w:r>
    </w:p>
    <w:p>
      <w:pPr>
        <w:pStyle w:val="ListBullet"/>
        <w:spacing w:after="80" w:line="276" w:lineRule="auto"/>
      </w:pPr>
      <w:r>
        <w:t>Carried out endodontic microsurgery such as apicoectomies, resolving persistent infections and preserving surrounding bone.</w:t>
      </w:r>
    </w:p>
    <w:p>
      <w:pPr>
        <w:pStyle w:val="ListBullet"/>
        <w:spacing w:after="80" w:line="276" w:lineRule="auto"/>
      </w:pPr>
      <w:r>
        <w:t>Interpreted cone beam computed tomography (CBCT) and other radiographs to plan treatment and improve clinical accuracy.</w:t>
      </w:r>
    </w:p>
    <w:p>
      <w:pPr>
        <w:pStyle w:val="ListBullet"/>
        <w:spacing w:after="80" w:line="276" w:lineRule="auto"/>
      </w:pPr>
      <w:r>
        <w:t>Managed dental trauma and provided emergency endodontic care, often seeing patients at short notice to alleviate pain.</w:t>
      </w:r>
    </w:p>
    <w:p>
      <w:pPr>
        <w:pStyle w:val="ListBullet"/>
        <w:spacing w:after="80" w:line="276" w:lineRule="auto"/>
      </w:pPr>
      <w:r>
        <w:t>Educated patients on oral health and post-treatment care, supporting recovery and reducing the need for further intervention.</w:t>
      </w:r>
    </w:p>
    <w:p>
      <w:pPr>
        <w:pStyle w:val="ListBullet"/>
        <w:spacing w:after="240" w:line="276" w:lineRule="auto"/>
      </w:pPr>
      <w:r>
        <w:t>Maintained strict infection control and hygiene protocols in line with Australian standards, ensuring a safe clinical environment.</w:t>
      </w:r>
    </w:p>
    <w:p>
      <w:pPr>
        <w:spacing w:before="280" w:after="120"/>
        <w:jc w:val="left"/>
        <w:pBdr>
          <w:bottom w:val="single" w:sz="6" w:space="4" w:color="DFDED8"/>
        </w:pBdr>
      </w:pPr>
      <w:r>
        <w:rPr>
          <w:b/>
          <w:color w:val="2F62D9"/>
          <w:sz w:val="22"/>
        </w:rPr>
        <w:t>EDUCATION</w:t>
      </w:r>
    </w:p>
    <w:p>
      <w:pPr>
        <w:spacing w:before="0" w:after="200"/>
        <w:jc w:val="left"/>
      </w:pPr>
      <w:r>
        <w:t>Bachelor of Dental Surgery or Doctor of Dental Medicine, followed by a Doctor of Clinical Dentistry in Endodontics or equivalent specialist training accredited by the Australian Dental Council, and specialist registration with the Dental Board of Australia (AHPRA).</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