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Family and Relationship Counsellor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family and relationship counsellor with a client-centred approach, supporting individuals, couples and families through conflict, separation and parenting stress. I hold a Bachelor degree in counselling and am a member of PACFA. I bring strong casework skills, experience with Halaxy and Penelope, and a commitment to safe, ethical practice.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Casework and client support   •   Community engagement   •   Halaxy   •   Penelope   •   Cliniko   •   Microsoft Teams   •   Empathy and interpersonal care   •   Written communication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Family and Relationship Counsellor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30 clients, conducting weekly individual and couples counselling sessions.</w:t>
      </w:r>
    </w:p>
    <w:p>
      <w:pPr>
        <w:pStyle w:val="ListBullet"/>
        <w:spacing w:after="80" w:line="276" w:lineRule="auto"/>
      </w:pPr>
      <w:r>
        <w:t>Facilitated joint family sessions for 15 families, helping 12 develop shared parenting agreements.</w:t>
      </w:r>
    </w:p>
    <w:p>
      <w:pPr>
        <w:pStyle w:val="ListBullet"/>
        <w:spacing w:after="80" w:line="276" w:lineRule="auto"/>
      </w:pPr>
      <w:r>
        <w:t>Maintained confidential case notes in Halaxy and Penelope, ensuring compliance with privacy legislation and professional standards.</w:t>
      </w:r>
    </w:p>
    <w:p>
      <w:pPr>
        <w:pStyle w:val="ListBullet"/>
        <w:spacing w:after="80" w:line="276" w:lineRule="auto"/>
      </w:pPr>
      <w:r>
        <w:t>Referred clients to external services such as housing, mental health and legal support, improving continuity of care.</w:t>
      </w:r>
    </w:p>
    <w:p>
      <w:pPr>
        <w:pStyle w:val="ListBullet"/>
        <w:spacing w:after="80" w:line="276" w:lineRule="auto"/>
      </w:pPr>
      <w:r>
        <w:t>Co-facilitated a parenting support group for 20 participants, with consistent attendance across the eight-week program.</w:t>
      </w:r>
    </w:p>
    <w:p>
      <w:pPr>
        <w:pStyle w:val="ListBullet"/>
        <w:spacing w:after="240" w:line="276" w:lineRule="auto"/>
      </w:pPr>
      <w:r>
        <w:t>Assessed risk and safety concerns in family violence cases, following mandatory reporting procedures and safety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counselling, social work or psychology, with many counsellors also completing postgraduate study in counselling or family therapy.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