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Finance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Finance manager with a track record of running the finance function end to end: budgeting, statutory reporting, cash flow and the team behind it. Comfortable moving between the detail of a reconciliation and a board-level conversation about risk and strategy. Typically the step up from senior accountant and the natural lead-in to a CFO role.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reporting   •   Budgeting and forecasting   •   Management accounting   •   Risk and internal controls   •   Strategy development   •   People leadership   •   Stakeholder management   •   Excel   •   SAP   •   Power BI   •   Workday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Finance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the annual budgeting and forecasting cycle across multiple cost centres, tightening variance to plan and giving executives earlier warning on emerging risks</w:t>
      </w:r>
    </w:p>
    <w:p>
      <w:pPr>
        <w:pStyle w:val="ListBullet"/>
        <w:spacing w:after="80" w:line="276" w:lineRule="auto"/>
      </w:pPr>
      <w:r>
        <w:t>Owned monthly and statutory reporting, cutting time to close by moving manual reconciliations into SAP and Power BI dashboards</w:t>
      </w:r>
    </w:p>
    <w:p>
      <w:pPr>
        <w:pStyle w:val="ListBullet"/>
        <w:spacing w:after="80" w:line="276" w:lineRule="auto"/>
      </w:pPr>
      <w:r>
        <w:t>Managed cash flow and treasury, including bank facility renewals and covenant reporting, keeping the business within agreed limits through seasonal revenue swings</w:t>
      </w:r>
    </w:p>
    <w:p>
      <w:pPr>
        <w:pStyle w:val="ListBullet"/>
        <w:spacing w:after="80" w:line="276" w:lineRule="auto"/>
      </w:pPr>
      <w:r>
        <w:t>Built and led a finance team through a period of growth, restructuring roles so reporting deadlines were consistently met without added headcount</w:t>
      </w:r>
    </w:p>
    <w:p>
      <w:pPr>
        <w:pStyle w:val="ListBullet"/>
        <w:spacing w:after="80" w:line="276" w:lineRule="auto"/>
      </w:pPr>
      <w:r>
        <w:t>Advised the executive team on the financial implications of major decisions, including pricing changes and capital investment business cases</w:t>
      </w:r>
    </w:p>
    <w:p>
      <w:pPr>
        <w:pStyle w:val="ListBullet"/>
        <w:spacing w:after="240" w:line="276" w:lineRule="auto"/>
      </w:pPr>
      <w:r>
        <w:t>Strengthened internal controls following a gap identified in an external audit, closing the finding within the following reporting period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accounting, finance or commerce, followed by CPA Australia or Chartered Accountants ANZ membership; most finance managers progress from a senior accountant role rather than entering directly, and a postgraduate qualification (MBA or Master of Finance) is common for those aiming at CFO.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