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Forester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Forester with a focus on balancing timber production, conservation and community use across managed landscapes. Experienced in forest health assessment, harvesting and regeneration planning, and fire risk management. Strong background in geospatial analysis and regulatory compliance, with a commitment to sustainable forest management.</w:t>
      </w:r>
    </w:p>
    <w:p>
      <w:pPr>
        <w:spacing w:before="280" w:after="120"/>
        <w:jc w:val="left"/>
        <w:pBdr>
          <w:bottom w:val="single" w:sz="6" w:space="4" w:color="DFDED8"/>
        </w:pBdr>
      </w:pPr>
      <w:r>
        <w:rPr>
          <w:b/>
          <w:color w:val="2F62D9"/>
          <w:sz w:val="22"/>
        </w:rPr>
        <w:t>KEY SKILLS</w:t>
      </w:r>
    </w:p>
    <w:p>
      <w:pPr>
        <w:spacing w:before="0" w:after="200"/>
        <w:jc w:val="left"/>
      </w:pPr>
      <w:r>
        <w:t>Environmental assessment   •   Field research and sampling   •   Surveying and geospatial work   •   Data analysis   •   Regulatory compliance   •   Project management   •   ArcGIS   •   QGIS   •   Trimble GPS   •   Microsoft Excel   •   Google Earth Engine   •   Stakeholder management   •   Forest health assessment   •   Harvest and regeneration planning   •   Fire risk assessment   •   Pest and disease monitoring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Forester</w:t>
      </w:r>
      <w:r>
        <w:t>, [Company Name], [City]</w:t>
      </w:r>
      <w:r>
        <w:rPr>
          <w:i/>
        </w:rPr>
        <w:tab/>
        <w:t>[Month Year] – [Month Year / Present]</w:t>
      </w:r>
    </w:p>
    <w:p>
      <w:pPr>
        <w:pStyle w:val="ListBullet"/>
        <w:spacing w:after="80" w:line="276" w:lineRule="auto"/>
      </w:pPr>
      <w:r>
        <w:t>Assessed forest health and growth rates across mixed-species plantations in regional New South Wales, identifying areas for thinning and regeneration to improve stand quality.</w:t>
      </w:r>
    </w:p>
    <w:p>
      <w:pPr>
        <w:pStyle w:val="ListBullet"/>
        <w:spacing w:after="80" w:line="276" w:lineRule="auto"/>
      </w:pPr>
      <w:r>
        <w:t>Planned and coordinated harvesting and regeneration programs for multiple landholdings, aligning operations with sustainable forest management plans.</w:t>
      </w:r>
    </w:p>
    <w:p>
      <w:pPr>
        <w:pStyle w:val="ListBullet"/>
        <w:spacing w:after="80" w:line="276" w:lineRule="auto"/>
      </w:pPr>
      <w:r>
        <w:t>Monitored pests, weeds and disease across a 300-hectare forest estate, coordinating control measures that reduced infestation spread and protected timber value.</w:t>
      </w:r>
    </w:p>
    <w:p>
      <w:pPr>
        <w:pStyle w:val="ListBullet"/>
        <w:spacing w:after="80" w:line="276" w:lineRule="auto"/>
      </w:pPr>
      <w:r>
        <w:t>Conducted fire risk assessments and developed fuel reduction plans for public and private land, improving readiness for fire season and community safety.</w:t>
      </w:r>
    </w:p>
    <w:p>
      <w:pPr>
        <w:pStyle w:val="ListBullet"/>
        <w:spacing w:after="80" w:line="276" w:lineRule="auto"/>
      </w:pPr>
      <w:r>
        <w:t>Advised landholders, government agencies and community groups on sustainable forest management, leading to adoption of improved regeneration and biodiversity practices.</w:t>
      </w:r>
    </w:p>
    <w:p>
      <w:pPr>
        <w:pStyle w:val="ListBullet"/>
        <w:spacing w:after="240" w:line="276" w:lineRule="auto"/>
      </w:pPr>
      <w:r>
        <w:t>Used ArcGIS and Trimble GPS to map forest stands and track harvesting progress, improving accuracy of timber volume estimates and operational planning.</w:t>
      </w:r>
    </w:p>
    <w:p>
      <w:pPr>
        <w:spacing w:before="280" w:after="120"/>
        <w:jc w:val="left"/>
        <w:pBdr>
          <w:bottom w:val="single" w:sz="6" w:space="4" w:color="DFDED8"/>
        </w:pBdr>
      </w:pPr>
      <w:r>
        <w:rPr>
          <w:b/>
          <w:color w:val="2F62D9"/>
          <w:sz w:val="22"/>
        </w:rPr>
        <w:t>EDUCATION</w:t>
      </w:r>
    </w:p>
    <w:p>
      <w:pPr>
        <w:spacing w:before="0" w:after="200"/>
        <w:jc w:val="left"/>
      </w:pPr>
      <w:r>
        <w:t>Bachelor degree in Forestry, Forest Science or Environmental Science; or a Diploma/Advanced Diploma in Forest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