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Fraud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Fraud analyst with experience monitoring transactions, building detection rules, and documenting suspicious activity for compliance and legal teams. Skilled in SQL, Python, and case management software, with a strong understanding of AUSTRAC reporting obligations and the AML/CTF Act. Focused on spotting emerging scam tactics and improving fraud controls.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Data analysis   •   Risk and internal controls   •   Regulatory compliance   •   SQL   •   Python or R   •   Tableau or Power BI   •   SAS or SPSS   •   Case management software   •   Problem solving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Fraud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transaction activity across card, internet banking, and payment channels, flagging accounts that matched fraud typologies and documenting findings for compliance review.</w:t>
      </w:r>
    </w:p>
    <w:p>
      <w:pPr>
        <w:pStyle w:val="ListBullet"/>
        <w:spacing w:after="80" w:line="276" w:lineRule="auto"/>
      </w:pPr>
      <w:r>
        <w:t>Built and refined detection rules using SQL and Python, improving alert quality and reducing false positives for the team.</w:t>
      </w:r>
    </w:p>
    <w:p>
      <w:pPr>
        <w:pStyle w:val="ListBullet"/>
        <w:spacing w:after="80" w:line="276" w:lineRule="auto"/>
      </w:pPr>
      <w:r>
        <w:t>Investigated flagged accounts, compiled evidence packs, and prepared suspicious matter reports for AUSTRAC submission.</w:t>
      </w:r>
    </w:p>
    <w:p>
      <w:pPr>
        <w:pStyle w:val="ListBullet"/>
        <w:spacing w:after="80" w:line="276" w:lineRule="auto"/>
      </w:pPr>
      <w:r>
        <w:t>Collaborated with internal audit and risk teams to test fraud controls, recommending changes that closed gaps identified in reviews.</w:t>
      </w:r>
    </w:p>
    <w:p>
      <w:pPr>
        <w:pStyle w:val="ListBullet"/>
        <w:spacing w:after="80" w:line="276" w:lineRule="auto"/>
      </w:pPr>
      <w:r>
        <w:t>Presented fraud trends and emerging scam tactics to management, supporting updates to customer awareness and staff training.</w:t>
      </w:r>
    </w:p>
    <w:p>
      <w:pPr>
        <w:pStyle w:val="ListBullet"/>
        <w:spacing w:after="240" w:line="276" w:lineRule="auto"/>
      </w:pPr>
      <w:r>
        <w:t>Used Tableau to build dashboards tracking alert volumes and case outcomes, giving the team a clearer view of control effectiveness.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fraud analysts hold a bachelor degree in finance, accounting, economics, data analytics or a related discipline, with a significant proportion also completing postgraduate study; a diploma or advanced diploma in financial services or fraud investigation can provide an entry path, and industry certifications such as ACAMS or the International Compliance Association are valued.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