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Freight Forwarder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Freight Forwarder experienced in coordinating international and domestic cargo movements, from carrier bookings through to customs clearance and final delivery. Comfortable managing multiple shipments at once, resolving delays as they arise, and keeping clients informed at every stage. Strong grasp of Australian import/export documentation requirements and carrier rate structures.</w:t>
      </w:r>
    </w:p>
    <w:p>
      <w:pPr>
        <w:spacing w:before="280" w:after="120"/>
        <w:jc w:val="left"/>
        <w:pBdr>
          <w:bottom w:val="single" w:sz="6" w:space="4" w:color="DFDED8"/>
        </w:pBdr>
      </w:pPr>
      <w:r>
        <w:rPr>
          <w:b/>
          <w:color w:val="2F62D9"/>
          <w:sz w:val="22"/>
        </w:rPr>
        <w:t>KEY SKILLS</w:t>
      </w:r>
    </w:p>
    <w:p>
      <w:pPr>
        <w:spacing w:before="0" w:after="200"/>
        <w:jc w:val="left"/>
      </w:pPr>
      <w:r>
        <w:t>Supply chain planning   •   Regulatory compliance   •   Account and relationship management   •   Data analysis   •   CargoWise One   •   TradeGate   •   Fourkites   •   SAP   •   Microsoft Excel   •   Attention to detail   •   Problem solving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Freight Forwarder</w:t>
      </w:r>
      <w:r>
        <w:t>, [Company Name], [City]</w:t>
      </w:r>
      <w:r>
        <w:rPr>
          <w:i/>
        </w:rPr>
        <w:tab/>
        <w:t>[Month Year] – [Month Year / Present]</w:t>
      </w:r>
    </w:p>
    <w:p>
      <w:pPr>
        <w:pStyle w:val="ListBullet"/>
        <w:spacing w:after="80" w:line="276" w:lineRule="auto"/>
      </w:pPr>
      <w:r>
        <w:t>Booked cargo space across sea, air and road carriers for a portfolio of import/export clients, balancing transit time against cost</w:t>
      </w:r>
    </w:p>
    <w:p>
      <w:pPr>
        <w:pStyle w:val="ListBullet"/>
        <w:spacing w:after="80" w:line="276" w:lineRule="auto"/>
      </w:pPr>
      <w:r>
        <w:t>Prepared and lodged customs declarations and import/export documentation in line with Australian Border Force requirements, reducing avoidable clearance delays</w:t>
      </w:r>
    </w:p>
    <w:p>
      <w:pPr>
        <w:pStyle w:val="ListBullet"/>
        <w:spacing w:after="80" w:line="276" w:lineRule="auto"/>
      </w:pPr>
      <w:r>
        <w:t>Tracked shipments end-to-end using CargoWise One and Fourkites, giving clients real-time status updates rather than reactive check-ins</w:t>
      </w:r>
    </w:p>
    <w:p>
      <w:pPr>
        <w:pStyle w:val="ListBullet"/>
        <w:spacing w:after="80" w:line="276" w:lineRule="auto"/>
      </w:pPr>
      <w:r>
        <w:t>Negotiated freight rates with shipping lines, airlines and trucking companies, securing more favourable terms on regular high-volume routes</w:t>
      </w:r>
    </w:p>
    <w:p>
      <w:pPr>
        <w:pStyle w:val="ListBullet"/>
        <w:spacing w:after="240" w:line="276" w:lineRule="auto"/>
      </w:pPr>
      <w:r>
        <w:t>Investigated and resolved damage claims and shipping delays, working with carriers and insurers to reach outcomes clients accepted without escalation</w:t>
      </w:r>
    </w:p>
    <w:p>
      <w:pPr>
        <w:spacing w:before="280" w:after="120"/>
        <w:jc w:val="left"/>
        <w:pBdr>
          <w:bottom w:val="single" w:sz="6" w:space="4" w:color="DFDED8"/>
        </w:pBdr>
      </w:pPr>
      <w:r>
        <w:rPr>
          <w:b/>
          <w:color w:val="2F62D9"/>
          <w:sz w:val="22"/>
        </w:rPr>
        <w:t>EDUCATION</w:t>
      </w:r>
    </w:p>
    <w:p>
      <w:pPr>
        <w:spacing w:before="0" w:after="200"/>
        <w:jc w:val="left"/>
      </w:pPr>
      <w:r>
        <w:t>Typical entry is via a Certificate III/IV in International Freight Forwarding or a Diploma of Logistics, often combined with on-the-job training; many forwarders later add a Bachelor degree in supply chain, business or international trade, and CargoWise One system accreditation is common across the industry.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