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Gastroenterologist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Gastroenterologist with dual expertise in clinic-based consultation and advanced endoscopic procedures. Experienced in managing inflammatory bowel disease, chronic liver disease and complex gastrointestinal disorders across public and private settings. Committed to supervising registrars and contributing to multidisciplinary care.</w:t>
      </w:r>
    </w:p>
    <w:p>
      <w:pPr>
        <w:spacing w:before="280" w:after="120"/>
        <w:jc w:val="left"/>
        <w:pBdr>
          <w:bottom w:val="single" w:sz="6" w:space="4" w:color="DFDED8"/>
        </w:pBdr>
      </w:pPr>
      <w:r>
        <w:rPr>
          <w:b/>
          <w:color w:val="2F62D9"/>
          <w:sz w:val="22"/>
        </w:rPr>
        <w:t>KEY SKILLS</w:t>
      </w:r>
    </w:p>
    <w:p>
      <w:pPr>
        <w:spacing w:before="0" w:after="200"/>
        <w:jc w:val="left"/>
      </w:pPr>
      <w:r>
        <w:t>Patient care and support   •   Clinical assessment and treatment   •   Medication management   •   Care planning and coordination   •   Health education and advice   •   Olympus endoscopy systems   •   Provation MD   •   Epic   •   Cerner Millennium   •   Dragon Medical One   •   Written communication   •   Problem solving   •   Attention to detail</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Gastroenterologist</w:t>
      </w:r>
      <w:r>
        <w:t>, [Company Name], [City]</w:t>
      </w:r>
      <w:r>
        <w:rPr>
          <w:i/>
        </w:rPr>
        <w:tab/>
        <w:t>[Month Year] – [Month Year / Present]</w:t>
      </w:r>
    </w:p>
    <w:p>
      <w:pPr>
        <w:pStyle w:val="ListBullet"/>
        <w:spacing w:after="80" w:line="276" w:lineRule="auto"/>
      </w:pPr>
      <w:r>
        <w:t>Diagnosed and treated disorders of the digestive tract, liver and pancreas, managing a caseload of over 300 patients annually across outpatient and inpatient settings.</w:t>
      </w:r>
    </w:p>
    <w:p>
      <w:pPr>
        <w:pStyle w:val="ListBullet"/>
        <w:spacing w:after="80" w:line="276" w:lineRule="auto"/>
      </w:pPr>
      <w:r>
        <w:t>Performed gastroscopy, colonoscopy and ERCP procedures, improving diagnostic accuracy and reducing the need for repeat endoscopy through careful technique and clear documentation.</w:t>
      </w:r>
    </w:p>
    <w:p>
      <w:pPr>
        <w:pStyle w:val="ListBullet"/>
        <w:spacing w:after="80" w:line="276" w:lineRule="auto"/>
      </w:pPr>
      <w:r>
        <w:t>Managed chronic conditions including inflammatory bowel disease and chronic hepatitis, coordinating care with dietitians and surgeons to reduce hospital admissions.</w:t>
      </w:r>
    </w:p>
    <w:p>
      <w:pPr>
        <w:pStyle w:val="ListBullet"/>
        <w:spacing w:after="80" w:line="276" w:lineRule="auto"/>
      </w:pPr>
      <w:r>
        <w:t>Ordered and interpreted blood tests, imaging and endoscopic biopsies, ensuring timely communication of results to referring GPs and specialists.</w:t>
      </w:r>
    </w:p>
    <w:p>
      <w:pPr>
        <w:pStyle w:val="ListBullet"/>
        <w:spacing w:after="80" w:line="276" w:lineRule="auto"/>
      </w:pPr>
      <w:r>
        <w:t>Supervised gastroenterology registrars and contributed to multidisciplinary team meetings, enhancing trainee procedural skills and patient outcomes.</w:t>
      </w:r>
    </w:p>
    <w:p>
      <w:pPr>
        <w:pStyle w:val="ListBullet"/>
        <w:spacing w:after="240" w:line="276" w:lineRule="auto"/>
      </w:pPr>
      <w:r>
        <w:t>Reduced endoscopy report turnaround from five days to two by using Provation MD, improving communication with referring doctors and reducing patient call-backs.</w:t>
      </w:r>
    </w:p>
    <w:p>
      <w:pPr>
        <w:spacing w:before="280" w:after="120"/>
        <w:jc w:val="left"/>
        <w:pBdr>
          <w:bottom w:val="single" w:sz="6" w:space="4" w:color="DFDED8"/>
        </w:pBdr>
      </w:pPr>
      <w:r>
        <w:rPr>
          <w:b/>
          <w:color w:val="2F62D9"/>
          <w:sz w:val="22"/>
        </w:rPr>
        <w:t>EDUCATION</w:t>
      </w:r>
    </w:p>
    <w:p>
      <w:pPr>
        <w:spacing w:before="0" w:after="200"/>
        <w:jc w:val="left"/>
      </w:pPr>
      <w:r>
        <w:t>Bachelor of Medicine, Bachelor of Surgery (MBBS) or Doctor of Medicine (MD), followed by basic physician training and advanced training in gastroenterology through the Royal Australasian College of Physicians, leading to Fellowship (FRACP).</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