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General Physician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General Physician with FRACP and broad experience in adult internal medicine across inpatient and ambulatory settings. Skilled in the assessment and management of complex, multimorbid patients, with a strong focus on care coordination and multidisciplinary teamwork. Committed to supervising and teaching junior medical staff and to improving patient outcomes through evidence-based practice.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  •   Patient care and support   •   Medication management   •   Care planning and coordination   •   Health education and advice   •   Epic   •   Oracle Health (Cerner)   •   eMR (NSW Health)   •   UpToDate   •   PACS   •   Written communication   •   Problem solving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General Physician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daily ward rounds for a 30-bed general medicine unit, coordinating multidisciplinary teams to deliver safe, timely care and reduce average length of stay by one day.</w:t>
      </w:r>
    </w:p>
    <w:p>
      <w:pPr>
        <w:pStyle w:val="ListBullet"/>
        <w:spacing w:after="80" w:line="276" w:lineRule="auto"/>
      </w:pPr>
      <w:r>
        <w:t>Managed complex inpatient caseloads, ordering and interpreting pathology, imaging and other investigations to guide diagnosis and treatment.</w:t>
      </w:r>
    </w:p>
    <w:p>
      <w:pPr>
        <w:pStyle w:val="ListBullet"/>
        <w:spacing w:after="80" w:line="276" w:lineRule="auto"/>
      </w:pPr>
      <w:r>
        <w:t>Developed and monitored long term treatment plans for patients with chronic conditions, adjusting medications and therapies in outpatient clinics.</w:t>
      </w:r>
    </w:p>
    <w:p>
      <w:pPr>
        <w:pStyle w:val="ListBullet"/>
        <w:spacing w:after="80" w:line="276" w:lineRule="auto"/>
      </w:pPr>
      <w:r>
        <w:t>Supervised and taught registrars, residents and medical students, providing feedback and supporting their clinical development.</w:t>
      </w:r>
    </w:p>
    <w:p>
      <w:pPr>
        <w:pStyle w:val="ListBullet"/>
        <w:spacing w:after="240" w:line="276" w:lineRule="auto"/>
      </w:pPr>
      <w:r>
        <w:t>Improved discharge planning processes by introducing a checklist that cut delays in patient flow across the ward.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MBBS or MD, followed by RACP Basic and Advanced Training in General and Acute Care Medicine, leading to Fellowship of the Royal Australasian College of Physicians (FRACP).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