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Geologist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Geologist with field and laboratory experience across exploration, mining and site investigation work. Skilled in sample collection, subsurface data interpretation and hazard assessment, with a track record of producing clear geological reports for technical and non-technical stakeholders. Comfortable working in remote field conditions as well as with modelling software back in the office.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Field research and sampling   •   Laboratory analysis   •   Geological hazard assessment   •   Data analysis and interpretation   •   Engineering design and analysis support   •   ArcGIS   •   Leapfrog Geo   •   Petrel   •   Core logging software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Geologist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Collected and logged rock, soil and mineral samples across multiple field sites, maintaining chain-of-custody records for laboratory analysis</w:t>
      </w:r>
    </w:p>
    <w:p>
      <w:pPr>
        <w:pStyle w:val="ListBullet"/>
        <w:spacing w:after="80" w:line="276" w:lineRule="auto"/>
      </w:pPr>
      <w:r>
        <w:t>Interpreted well logs and geophysical survey data to build subsurface models in Leapfrog Geo and Petrel, refining resource estimates as new drill data came in</w:t>
      </w:r>
    </w:p>
    <w:p>
      <w:pPr>
        <w:pStyle w:val="ListBullet"/>
        <w:spacing w:after="80" w:line="276" w:lineRule="auto"/>
      </w:pPr>
      <w:r>
        <w:t>Conducted geological hazard assessments for construction and infrastructure clients, identifying ground conditions that informed design changes before works began</w:t>
      </w:r>
    </w:p>
    <w:p>
      <w:pPr>
        <w:pStyle w:val="ListBullet"/>
        <w:spacing w:after="80" w:line="276" w:lineRule="auto"/>
      </w:pPr>
      <w:r>
        <w:t>Prepared geological maps, cross-sections and technical reports for regulatory submission, translating findings for stakeholders without a geology background</w:t>
      </w:r>
    </w:p>
    <w:p>
      <w:pPr>
        <w:pStyle w:val="ListBullet"/>
        <w:spacing w:after="240" w:line="276" w:lineRule="auto"/>
      </w:pPr>
      <w:r>
        <w:t>Advised mining and energy clients on resource potential and remediation options, supporting decisions on site suitability and drilling programs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majoring in Geology (or equivalent), with many practitioners going on to Honours or a postgraduate qualification and working toward Chartered Professional status with the Australian Institute of Geoscientists (AIG).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