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Health Information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Health Information Manager with experience in clinical coding, data quality and privacy compliance across Australian health services. Skilled in managing patient health records from release to retention, using ICD-10-AM and ACHI to classify diagnoses and procedures accurately. Committed to turning record data into reliable reports that support clinical care, hospital funding and public health planning.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Medical administration and records   •   Data analysis   •   Regulatory compliance   •   Statistical modelling   •   ICD-10-AM/ACHI coding systems   •   Cerner Millennium   •   Microsoft Power BI   •   Microsoft Excel   •   Patient administration systems (iPM)   •   Attention to detail   •   Stakeholder management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Health Information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the release, storage and retention of patient health records for a large metropolitan hospital, ensuring compliance with privacy legislation and reducing average release turnaround from five days to three.</w:t>
      </w:r>
    </w:p>
    <w:p>
      <w:pPr>
        <w:pStyle w:val="ListBullet"/>
        <w:spacing w:after="80" w:line="276" w:lineRule="auto"/>
      </w:pPr>
      <w:r>
        <w:t>Classified diagnoses and procedures using ICD-10-AM and ACHI across a caseload of over 2,000 episodes per year, maintaining coding accuracy above audit thresholds.</w:t>
      </w:r>
    </w:p>
    <w:p>
      <w:pPr>
        <w:pStyle w:val="ListBullet"/>
        <w:spacing w:after="80" w:line="276" w:lineRule="auto"/>
      </w:pPr>
      <w:r>
        <w:t>Ran quarterly clinical coding audits and data quality checks, identifying documentation gaps and delivering targeted training to clinical staff that improved record completeness.</w:t>
      </w:r>
    </w:p>
    <w:p>
      <w:pPr>
        <w:pStyle w:val="ListBullet"/>
        <w:spacing w:after="80" w:line="276" w:lineRule="auto"/>
      </w:pPr>
      <w:r>
        <w:t>Provided health data and reports to clinicians, managers and government agencies, streamlining monthly reporting to the Department of Health.</w:t>
      </w:r>
    </w:p>
    <w:p>
      <w:pPr>
        <w:pStyle w:val="ListBullet"/>
        <w:spacing w:after="240" w:line="276" w:lineRule="auto"/>
      </w:pPr>
      <w:r>
        <w:t>Implemented electronic medical record system privacy controls and access permissions, working with IT and clinical stakeholders to safeguard patient information.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health information management or a related field such as health sciences, with postgraduate study in health information management or clinical coding common for senior roles. Entry also possible via a diploma or advanced diploma in health administration, though most managers hold a bachelor degree or higher.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