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Infectious Diseases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Infectious diseases physician with advanced training through the Royal Australasian College of Physicians, focused on complex infection management and antimicrobial stewardship. Experienced in leading outbreak investigations, consulting across hospital teams, and supporting safe antimicrobial use. Committed to patient-centred care and teaching the next generation of clinicians.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Medication management   •   Infection control and hygiene   •   Health education and advice   •   Epic   •   Cerner Millennium   •   eMIMS   •   Antimicrobial stewardship software   •   Telehealth platforms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Infectious Diseases Physician</w:t>
      </w:r>
      <w:r>
        <w:t>, [Company Name], [City]</w:t>
      </w:r>
      <w:r>
        <w:rPr>
          <w:i/>
        </w:rPr>
        <w:tab/>
        <w:t>[Month Year] – [Month Year / Present]</w:t>
      </w:r>
    </w:p>
    <w:p>
      <w:pPr>
        <w:pStyle w:val="ListBullet"/>
        <w:spacing w:after="80" w:line="276" w:lineRule="auto"/>
      </w:pPr>
      <w:r>
        <w:t>Managed complex inpatient infections across a 30-bed ward, reducing average length of stay by two days through targeted antimicrobial review.</w:t>
      </w:r>
    </w:p>
    <w:p>
      <w:pPr>
        <w:pStyle w:val="ListBullet"/>
        <w:spacing w:after="80" w:line="276" w:lineRule="auto"/>
      </w:pPr>
      <w:r>
        <w:t>Led outbreak investigation for a hospital-acquired infection, coordinating with infection control and public health teams to contain spread across three wards.</w:t>
      </w:r>
    </w:p>
    <w:p>
      <w:pPr>
        <w:pStyle w:val="ListBullet"/>
        <w:spacing w:after="80" w:line="276" w:lineRule="auto"/>
      </w:pPr>
      <w:r>
        <w:t>Prescribed and monitored antimicrobial therapy for patients with multidrug-resistant organisms, including adjusting regimens based on culture results and renal function.</w:t>
      </w:r>
    </w:p>
    <w:p>
      <w:pPr>
        <w:pStyle w:val="ListBullet"/>
        <w:spacing w:after="80" w:line="276" w:lineRule="auto"/>
      </w:pPr>
      <w:r>
        <w:t>Supervised and mentored junior medical staff, with several registrars progressing to advanced training positions.</w:t>
      </w:r>
    </w:p>
    <w:p>
      <w:pPr>
        <w:pStyle w:val="ListBullet"/>
        <w:spacing w:after="240" w:line="276" w:lineRule="auto"/>
      </w:pPr>
      <w:r>
        <w:t>Delivered education sessions on infection control, reaching over 100 clinical staff per year.</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equivalent, followed by basic physician training and advanced training in infectious diseases through the Royal Australasian College of Physicians.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