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Insurance Investigator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Insurance investigator with experience reviewing and verifying claims across general insurance lines. Skilled in interviewing claimants, witnesses and service providers, analysing records, and preparing investigation reports that support fair claim outcomes. Knowledgeable in Australian insurance regulation and committed to balancing fraud detection with claimant fairness.</w:t>
      </w:r>
    </w:p>
    <w:p>
      <w:pPr>
        <w:spacing w:before="280" w:after="120"/>
        <w:jc w:val="left"/>
        <w:pBdr>
          <w:bottom w:val="single" w:sz="6" w:space="4" w:color="DFDED8"/>
        </w:pBdr>
      </w:pPr>
      <w:r>
        <w:rPr>
          <w:b/>
          <w:color w:val="2F62D9"/>
          <w:sz w:val="22"/>
        </w:rPr>
        <w:t>KEY SKILLS</w:t>
      </w:r>
    </w:p>
    <w:p>
      <w:pPr>
        <w:spacing w:before="0" w:after="200"/>
        <w:jc w:val="left"/>
      </w:pPr>
      <w:r>
        <w:t>Regulatory compliance   •   Risk and internal controls   •   Data analysis   •   Financial analysis and modelling   •   Guidewire ClaimCenter   •   LexisNexis   •   Microsoft Excel   •   Tableau   •   Case management software   •   Attention to detail   •   Written communication   •   Problem solving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Insurance Investigator</w:t>
      </w:r>
      <w:r>
        <w:t>, [Company Name], [City]</w:t>
      </w:r>
      <w:r>
        <w:rPr>
          <w:i/>
        </w:rPr>
        <w:tab/>
        <w:t>[Month Year] – [Month Year / Present]</w:t>
      </w:r>
    </w:p>
    <w:p>
      <w:pPr>
        <w:pStyle w:val="ListBullet"/>
        <w:spacing w:after="80" w:line="276" w:lineRule="auto"/>
      </w:pPr>
      <w:r>
        <w:t>Reviewed claim documentation and policy details across a portfolio of general insurance claims, identifying discrepancies that triggered further investigation and prevented several invalid payouts.</w:t>
      </w:r>
    </w:p>
    <w:p>
      <w:pPr>
        <w:pStyle w:val="ListBullet"/>
        <w:spacing w:after="80" w:line="276" w:lineRule="auto"/>
      </w:pPr>
      <w:r>
        <w:t>Interviewed claimants, witnesses and service providers in person and by phone, gathering statements that were used to confirm or challenge claim circumstances.</w:t>
      </w:r>
    </w:p>
    <w:p>
      <w:pPr>
        <w:pStyle w:val="ListBullet"/>
        <w:spacing w:after="80" w:line="276" w:lineRule="auto"/>
      </w:pPr>
      <w:r>
        <w:t>Conducted surveillance and background checks on suspicious claims, documenting activity in case management software and preparing evidence summaries for claims managers.</w:t>
      </w:r>
    </w:p>
    <w:p>
      <w:pPr>
        <w:pStyle w:val="ListBullet"/>
        <w:spacing w:after="80" w:line="276" w:lineRule="auto"/>
      </w:pPr>
      <w:r>
        <w:t>Analysed medical, financial and repair records to assess claim validity, reducing average file handling time from twelve days to eight on complex cases.</w:t>
      </w:r>
    </w:p>
    <w:p>
      <w:pPr>
        <w:pStyle w:val="ListBullet"/>
        <w:spacing w:after="80" w:line="276" w:lineRule="auto"/>
      </w:pPr>
      <w:r>
        <w:t>Prepared investigation reports with clear recommendations on claim outcomes, helping the claims team make consistent and defensible decisions.</w:t>
      </w:r>
    </w:p>
    <w:p>
      <w:pPr>
        <w:pStyle w:val="ListBullet"/>
        <w:spacing w:after="240" w:line="276" w:lineRule="auto"/>
      </w:pPr>
      <w:r>
        <w:t>Maintained compliance with privacy principles and internal controls while managing a caseload of high-value and sensitive claims.</w:t>
      </w:r>
    </w:p>
    <w:p>
      <w:pPr>
        <w:spacing w:before="280" w:after="120"/>
        <w:jc w:val="left"/>
        <w:pBdr>
          <w:bottom w:val="single" w:sz="6" w:space="4" w:color="DFDED8"/>
        </w:pBdr>
      </w:pPr>
      <w:r>
        <w:rPr>
          <w:b/>
          <w:color w:val="2F62D9"/>
          <w:sz w:val="22"/>
        </w:rPr>
        <w:t>EDUCATION</w:t>
      </w:r>
    </w:p>
    <w:p>
      <w:pPr>
        <w:spacing w:before="0" w:after="200"/>
        <w:jc w:val="left"/>
      </w:pPr>
      <w:r>
        <w:t>Certificate IV in Financial Services (Insurance) or Diploma of Insurance, or a bachelor degree in law, commerce, criminology or a related field; many investigators also complete ANZIIF qualifications and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