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Intellectual Property Lawyer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Intellectual property lawyer with a science background and experience across patents, trade marks and copyright. Skilled at drafting and prosecuting applications before IP Australia and foreign registries, and at negotiating licences and technology agreements. Known for clear advice that helps clients protect and commercialise their innovations.</w:t>
      </w:r>
    </w:p>
    <w:p>
      <w:pPr>
        <w:spacing w:before="280" w:after="120"/>
        <w:jc w:val="left"/>
        <w:pBdr>
          <w:bottom w:val="single" w:sz="6" w:space="4" w:color="DFDED8"/>
        </w:pBdr>
      </w:pPr>
      <w:r>
        <w:rPr>
          <w:b/>
          <w:color w:val="2F62D9"/>
          <w:sz w:val="22"/>
        </w:rPr>
        <w:t>KEY SKILLS</w:t>
      </w:r>
    </w:p>
    <w:p>
      <w:pPr>
        <w:spacing w:before="0" w:after="200"/>
        <w:jc w:val="left"/>
      </w:pPr>
      <w:r>
        <w:t>Legal research   •   Drafting and contracts   •   Regulatory and administrative law   •   Litigation and dispute support   •   Regulatory compliance   •   IP Australia eServices   •   Derwent Innovation   •   Espacenet   •   LexisNexis   •   Relativity   •   Client relationships and advisory   •   Attention to detail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Intellectual Property Lawyer</w:t>
      </w:r>
      <w:r>
        <w:t>, [Company Name], [City]</w:t>
      </w:r>
      <w:r>
        <w:rPr>
          <w:i/>
        </w:rPr>
        <w:tab/>
        <w:t>[Month Year] – [Month Year / Present]</w:t>
      </w:r>
    </w:p>
    <w:p>
      <w:pPr>
        <w:pStyle w:val="ListBullet"/>
        <w:spacing w:after="80" w:line="276" w:lineRule="auto"/>
      </w:pPr>
      <w:r>
        <w:t>Drafted and prosecuted patent and trade mark applications before IP Australia, managing a portfolio of more than 60 active matters across mechanical and software inventions.</w:t>
      </w:r>
    </w:p>
    <w:p>
      <w:pPr>
        <w:pStyle w:val="ListBullet"/>
        <w:spacing w:after="80" w:line="276" w:lineRule="auto"/>
      </w:pPr>
      <w:r>
        <w:t>Conducted freedom-to-operate and prior art searches using Derwent Innovation and Espacenet, delivering clear risk assessments that informed product launch decisions.</w:t>
      </w:r>
    </w:p>
    <w:p>
      <w:pPr>
        <w:pStyle w:val="ListBullet"/>
        <w:spacing w:after="80" w:line="276" w:lineRule="auto"/>
      </w:pPr>
      <w:r>
        <w:t>Negotiated licensing and technology transfer agreements for research institutions and private companies, resolving key clauses on royalties and territory.</w:t>
      </w:r>
    </w:p>
    <w:p>
      <w:pPr>
        <w:pStyle w:val="ListBullet"/>
        <w:spacing w:after="80" w:line="276" w:lineRule="auto"/>
      </w:pPr>
      <w:r>
        <w:t>Represented clients in trade mark opposition hearings, preparing evidence and submissions that led to a favourable outcome.</w:t>
      </w:r>
    </w:p>
    <w:p>
      <w:pPr>
        <w:pStyle w:val="ListBullet"/>
        <w:spacing w:after="80" w:line="276" w:lineRule="auto"/>
      </w:pPr>
      <w:r>
        <w:t>Advised on copyright and design protection for a digital content business, helping them secure and enforce their rights.</w:t>
      </w:r>
    </w:p>
    <w:p>
      <w:pPr>
        <w:pStyle w:val="ListBullet"/>
        <w:spacing w:after="240" w:line="276" w:lineRule="auto"/>
      </w:pPr>
      <w:r>
        <w:t>Collaborated with in-house counsel and external stakeholders to manage IP compliance and reduce risk of infringement claims.</w:t>
      </w:r>
    </w:p>
    <w:p>
      <w:pPr>
        <w:spacing w:before="280" w:after="120"/>
        <w:jc w:val="left"/>
        <w:pBdr>
          <w:bottom w:val="single" w:sz="6" w:space="4" w:color="DFDED8"/>
        </w:pBdr>
      </w:pPr>
      <w:r>
        <w:rPr>
          <w:b/>
          <w:color w:val="2F62D9"/>
          <w:sz w:val="22"/>
        </w:rPr>
        <w:t>EDUCATION</w:t>
      </w:r>
    </w:p>
    <w:p>
      <w:pPr>
        <w:spacing w:before="0" w:after="200"/>
        <w:jc w:val="left"/>
      </w:pPr>
      <w:r>
        <w:t>Bachelor of Laws (LLB) or Juris Doctor (JD) plus a Graduate Diploma or Master of Intellectual Property Law, with admission as a solicitor in an Australian state or territory.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