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Intelligence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Intelligence Analyst with experience turning open-source and classified material into clear threat assessments for government and law enforcement decision-makers. Comfortable working across multiple sources, validating findings with partner agencies, and briefing complex analysis to non-technical stakeholders. Holds or is eligible for an Australian Government security clearance.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Policy analysis and advice   •   Risk and internal controls   •   Regulatory compliance   •   OSINT platforms   •   GIS mapping software   •   Analytical software   •   Database management systems   •   Secure document repositories   •   Written communication   •   Stakeholder management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Intelligence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open-source and classified intelligence feeds to identify emerging patterns and threats, feeding findings into regular assessments used by senior decision-makers</w:t>
      </w:r>
    </w:p>
    <w:p>
      <w:pPr>
        <w:pStyle w:val="ListBullet"/>
        <w:spacing w:after="80" w:line="276" w:lineRule="auto"/>
      </w:pPr>
      <w:r>
        <w:t>Drafted briefing papers and threat reports for senior officials, condensing complex source material into decision-ready written assessments</w:t>
      </w:r>
    </w:p>
    <w:p>
      <w:pPr>
        <w:pStyle w:val="ListBullet"/>
        <w:spacing w:after="80" w:line="276" w:lineRule="auto"/>
      </w:pPr>
      <w:r>
        <w:t>Coordinated with intelligence partners across agencies to cross-check data points and validate findings before dissemination</w:t>
      </w:r>
    </w:p>
    <w:p>
      <w:pPr>
        <w:pStyle w:val="ListBullet"/>
        <w:spacing w:after="80" w:line="276" w:lineRule="auto"/>
      </w:pPr>
      <w:r>
        <w:t>Presented intelligence assessments verbally to government and law enforcement stakeholders, adjusting technical detail to suit the audience</w:t>
      </w:r>
    </w:p>
    <w:p>
      <w:pPr>
        <w:pStyle w:val="ListBullet"/>
        <w:spacing w:after="80" w:line="276" w:lineRule="auto"/>
      </w:pPr>
      <w:r>
        <w:t>Maintained secure document repositories and database systems in line with information handling protocols, supporting faster retrieval for analyst teams</w:t>
      </w:r>
    </w:p>
    <w:p>
      <w:pPr>
        <w:pStyle w:val="ListBullet"/>
        <w:spacing w:after="240" w:line="276" w:lineRule="auto"/>
      </w:pPr>
      <w:r>
        <w:t>Conducted research on geopolitical developments and criminal network activity to inform ongoing risk monitoring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international relations, security studies, criminology, law or a related field is the most common entry point, with a large share of analysts holding postgraduate qualifications; most roles also require an Australian Government security clearance (Baseline, NV1 or NV2 through AGSVA).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