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Intensive Care Paramedic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Intensive Care Paramedic with advanced pre-hospital clinical skills in assessment, resuscitation and retrieval. Registered with the Paramedicine Board of Australia and experienced in working autonomously under clinical practice guidelines. Committed to safe, evidence-based care and clear handover to receiving hospitals.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Advanced life support (intubation, IV drug administration, defibrillation)   •   Clinical assessment and triage   •   Medication management   •   Cardiac rhythm interpretation   •   Mechanical ventilation   •   Patient handover and documentation   •   Electronic patient care record (ePCR) systems   •   LIFEPAK 15 and Zoll X Series monitor/defibrillator operation   •   Video laryngoscopy   •   Aeromedical retrieval coordination   •   Problem solving under pressure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Intensive Care Paramedic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and triaged patients at scenes of illness and trauma, identifying time-critical interventions and coordinating transport to the most appropriate receiving facility.</w:t>
      </w:r>
    </w:p>
    <w:p>
      <w:pPr>
        <w:pStyle w:val="ListBullet"/>
        <w:spacing w:after="80" w:line="276" w:lineRule="auto"/>
      </w:pPr>
      <w:r>
        <w:t>Performed advanced life support including intubation, IV drug administration and defibrillation, stabilising patients before and during transport.</w:t>
      </w:r>
    </w:p>
    <w:p>
      <w:pPr>
        <w:pStyle w:val="ListBullet"/>
        <w:spacing w:after="80" w:line="276" w:lineRule="auto"/>
      </w:pPr>
      <w:r>
        <w:t>Interpreted cardiac, respiratory and neurological observations in the field, adjusting treatment in line with clinical practice guidelines.</w:t>
      </w:r>
    </w:p>
    <w:p>
      <w:pPr>
        <w:pStyle w:val="ListBullet"/>
        <w:spacing w:after="80" w:line="276" w:lineRule="auto"/>
      </w:pPr>
      <w:r>
        <w:t>Coordinated with retrieval teams, receiving hospitals and other emergency services to ensure seamless patient transfer and continuity of care.</w:t>
      </w:r>
    </w:p>
    <w:p>
      <w:pPr>
        <w:pStyle w:val="ListBullet"/>
        <w:spacing w:after="240" w:line="276" w:lineRule="auto"/>
      </w:pPr>
      <w:r>
        <w:t>Documented clinical care and delivered structured handovers to hospital staff, reducing ambiguity in patient presentation and treatment history.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Paramedicine, registration with the Paramedicine Board of Australia through Ahpra, and postgraduate intensive care paramedicine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