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Intensive Care Specialist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Intensive Care Specialist with fellowship training through the College of Intensive Care Medicine of Australia and New Zealand, managing critically ill patients requiring mechanical ventilation, vasopressor support and other organ support. Experienced in leading multidisciplinary ICU ward rounds, performing bedside critical care procedures and coordinating resuscitation of deteriorating inpatients. Registered as a specialist with AHPRA and comfortable supervising registrars while keeping families informed through high-stakes decisions.</w:t>
      </w:r>
    </w:p>
    <w:p>
      <w:pPr>
        <w:spacing w:before="280" w:after="120"/>
        <w:jc w:val="left"/>
        <w:pBdr>
          <w:bottom w:val="single" w:sz="6" w:space="4" w:color="DFDED8"/>
        </w:pBdr>
      </w:pPr>
      <w:r>
        <w:rPr>
          <w:b/>
          <w:color w:val="2F62D9"/>
          <w:sz w:val="22"/>
        </w:rPr>
        <w:t>KEY SKILLS</w:t>
      </w:r>
    </w:p>
    <w:p>
      <w:pPr>
        <w:spacing w:before="0" w:after="200"/>
        <w:jc w:val="left"/>
      </w:pPr>
      <w:r>
        <w:t>Mechanical ventilation and weaning management   •   Vasopressor and haemodynamic support   •   Central venous catheter and arterial line insertion   •   Point-of-care ultrasound for bedside assessment   •   Clinical assessment and treatment of the deteriorating patient   •   Medication management and sedation practice in critical illness   •   Care planning, admission triage and discharge coordination   •   Infection control and central line care   •   ICU clinical information systems (for example MetaVision)   •   Electronic medical record systems (for example Cerner, Epic)   •   Point-of-care blood gas and pathology result interpretation   •   Supervision and teaching of registrars and junior doctors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Intensive Care Specialist</w:t>
      </w:r>
      <w:r>
        <w:t>, [Company Name], [City]</w:t>
      </w:r>
      <w:r>
        <w:rPr>
          <w:i/>
        </w:rPr>
        <w:tab/>
        <w:t>[Month Year] – [Month Year / Present]</w:t>
      </w:r>
    </w:p>
    <w:p>
      <w:pPr>
        <w:pStyle w:val="ListBullet"/>
        <w:spacing w:after="80" w:line="276" w:lineRule="auto"/>
      </w:pPr>
      <w:r>
        <w:t>Led daily multidisciplinary ward rounds in a tertiary ICU, coordinating ventilation weaning, sedation holds and discharge planning with nursing, pharmacy and allied health</w:t>
      </w:r>
    </w:p>
    <w:p>
      <w:pPr>
        <w:pStyle w:val="ListBullet"/>
        <w:spacing w:after="80" w:line="276" w:lineRule="auto"/>
      </w:pPr>
      <w:r>
        <w:t>Performed central venous and arterial line insertions at the bedside using ultrasound guidance, maintaining a low complication rate across a busy unit</w:t>
      </w:r>
    </w:p>
    <w:p>
      <w:pPr>
        <w:pStyle w:val="ListBullet"/>
        <w:spacing w:after="80" w:line="276" w:lineRule="auto"/>
      </w:pPr>
      <w:r>
        <w:t>Coordinated rapid response and resuscitation calls for deteriorating inpatients, shortening the time from call to senior critical care review</w:t>
      </w:r>
    </w:p>
    <w:p>
      <w:pPr>
        <w:pStyle w:val="ListBullet"/>
        <w:spacing w:after="80" w:line="276" w:lineRule="auto"/>
      </w:pPr>
      <w:r>
        <w:t>Introduced a structured after-hours admission handover checklist that reduced missed investigations picked up on the following day's ward round</w:t>
      </w:r>
    </w:p>
    <w:p>
      <w:pPr>
        <w:pStyle w:val="ListBullet"/>
        <w:spacing w:after="80" w:line="276" w:lineRule="auto"/>
      </w:pPr>
      <w:r>
        <w:t>Ran family case conferences to establish goals of care and documented treatment limitation decisions clearly in the medical record</w:t>
      </w:r>
    </w:p>
    <w:p>
      <w:pPr>
        <w:pStyle w:val="ListBullet"/>
        <w:spacing w:after="240" w:line="276" w:lineRule="auto"/>
      </w:pPr>
      <w:r>
        <w:t>Supervised registrars and residents on the ICU roster, including procedural teaching and day-to-day clinical review of ventilator management</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prevocational hospital training, then completion of the College of Intensive Care Medicine of Australia and New Zealand (CICM) training program and Fellowship (FCICM), with specialist registration through AHPRA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