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Internal Auditor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Internal auditor experienced in planning risk-based audit programs and testing controls across finance and operational processes. Comfortable investigating irregularities, tracing root causes and reporting findings clearly to management and audit committees. Works well with process owners to get remediation actually closed out, not just logged.</w:t>
      </w:r>
    </w:p>
    <w:p>
      <w:pPr>
        <w:spacing w:before="280" w:after="120"/>
        <w:jc w:val="left"/>
        <w:pBdr>
          <w:bottom w:val="single" w:sz="6" w:space="4" w:color="DFDED8"/>
        </w:pBdr>
      </w:pPr>
      <w:r>
        <w:rPr>
          <w:b/>
          <w:color w:val="2F62D9"/>
          <w:sz w:val="22"/>
        </w:rPr>
        <w:t>KEY SKILLS</w:t>
      </w:r>
    </w:p>
    <w:p>
      <w:pPr>
        <w:spacing w:before="0" w:after="200"/>
        <w:jc w:val="left"/>
      </w:pPr>
      <w:r>
        <w:t>Auditing and assurance   •   Risk and internal controls   •   Regulatory compliance   •   Process improvement   •   Advanced Excel for control testing and analysis   •   GRC platforms   •   Data analytics tools for audit sampling and testing   •   Stakeholder management   •   Written communication for audit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Internal Auditor</w:t>
      </w:r>
      <w:r>
        <w:t>, [Company Name], [City]</w:t>
      </w:r>
      <w:r>
        <w:rPr>
          <w:i/>
        </w:rPr>
        <w:tab/>
        <w:t>[Month Year] – [Month Year / Present]</w:t>
      </w:r>
    </w:p>
    <w:p>
      <w:pPr>
        <w:pStyle w:val="ListBullet"/>
        <w:spacing w:after="80" w:line="276" w:lineRule="auto"/>
      </w:pPr>
      <w:r>
        <w:t>Planned risk-based internal audit programs, prioritising business units and processes with the highest control risk</w:t>
      </w:r>
    </w:p>
    <w:p>
      <w:pPr>
        <w:pStyle w:val="ListBullet"/>
        <w:spacing w:after="80" w:line="276" w:lineRule="auto"/>
      </w:pPr>
      <w:r>
        <w:t>Tested internal controls across finance and operational processes, identifying gaps before they became reportable issues</w:t>
      </w:r>
    </w:p>
    <w:p>
      <w:pPr>
        <w:pStyle w:val="ListBullet"/>
        <w:spacing w:after="80" w:line="276" w:lineRule="auto"/>
      </w:pPr>
      <w:r>
        <w:t>Investigated irregularities and control breakdowns, tracing root causes and recommending corrective action to process owners</w:t>
      </w:r>
    </w:p>
    <w:p>
      <w:pPr>
        <w:pStyle w:val="ListBullet"/>
        <w:spacing w:after="80" w:line="276" w:lineRule="auto"/>
      </w:pPr>
      <w:r>
        <w:t>Reported audit findings to management and audit committees, translating technical control issues into plain-language risk statements</w:t>
      </w:r>
    </w:p>
    <w:p>
      <w:pPr>
        <w:pStyle w:val="ListBullet"/>
        <w:spacing w:after="240" w:line="276" w:lineRule="auto"/>
      </w:pPr>
      <w:r>
        <w:t>Tracked remediation of audit findings, following up with process owners until agreed actions were closed out</w:t>
      </w:r>
    </w:p>
    <w:p>
      <w:pPr>
        <w:spacing w:before="280" w:after="120"/>
        <w:jc w:val="left"/>
        <w:pBdr>
          <w:bottom w:val="single" w:sz="6" w:space="4" w:color="DFDED8"/>
        </w:pBdr>
      </w:pPr>
      <w:r>
        <w:rPr>
          <w:b/>
          <w:color w:val="2F62D9"/>
          <w:sz w:val="22"/>
        </w:rPr>
        <w:t>EDUCATION</w:t>
      </w:r>
    </w:p>
    <w:p>
      <w:pPr>
        <w:spacing w:before="0" w:after="200"/>
        <w:jc w:val="left"/>
      </w:pPr>
      <w:r>
        <w:t>Bachelor degree in accounting, commerce or business is the most common entry point, often followed by CA ANZ, CPA Australia or IIA Australia's Certified Internal Auditor (CIA) designation; some auditors enter via a diploma or advanced diploma and build professional certification alongside on-the-job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