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Investment Banker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Investment banker with experience building financial models, structuring deals and advising corporate and institutional clients across equity and debt capital markets. Comfortable working on M&amp;A, capital raising and advisory mandates under tight deadlines, with strong quantitative skills and attention to regulatory detail. Known for translating complex deal structures into clear recommendations clients can act 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modelling and valuation (DCF, comparables, LBO)   •   M&amp;A and capital raising advisory   •   Due diligence and market research   •   Deal structuring and negotiation   •   Bloomberg Terminal   •   Advanced Excel   •   FactSet   •   Capital IQ   •   Pitchbook   •   Client and stakeholder relationship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Investment Banker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financial models and valuation analyses for M&amp;A transactions and capital raises, giving deal teams the numbers to defend pricing decisions to clients and boards</w:t>
      </w:r>
    </w:p>
    <w:p>
      <w:pPr>
        <w:pStyle w:val="ListBullet"/>
        <w:spacing w:after="80" w:line="276" w:lineRule="auto"/>
      </w:pPr>
      <w:r>
        <w:t>Prepared and delivered pitch materials for institutional and corporate clients, translating complex deal structures into a clear investment case</w:t>
      </w:r>
    </w:p>
    <w:p>
      <w:pPr>
        <w:pStyle w:val="ListBullet"/>
        <w:spacing w:after="80" w:line="276" w:lineRule="auto"/>
      </w:pPr>
      <w:r>
        <w:t>Ran due diligence and market research across live transactions, flagging risks early enough to keep deals on schedule</w:t>
      </w:r>
    </w:p>
    <w:p>
      <w:pPr>
        <w:pStyle w:val="ListBullet"/>
        <w:spacing w:after="80" w:line="276" w:lineRule="auto"/>
      </w:pPr>
      <w:r>
        <w:t>Negotiated terms and closing conditions with counterparties, lawyers and regulators through to completion</w:t>
      </w:r>
    </w:p>
    <w:p>
      <w:pPr>
        <w:pStyle w:val="ListBullet"/>
        <w:spacing w:after="240" w:line="276" w:lineRule="auto"/>
      </w:pPr>
      <w:r>
        <w:t>Tracked market conditions using Bloomberg Terminal and FactSet to advise clients on timing and pricing for capital raises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commerce, finance or economics, commonly followed by a postgraduate qualification (Master of Finance or MBA) or CFA charter, typically entered through a graduate analyst program at an investment bank or advisory firm.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