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Judge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legal practitioner with a strong background in [area of law] and a deep commitment to impartiality and the rule of law. Proven ability to interpret complex legislation, manage court proceedings efficiently, and deliver clear, well-reasoned judgments. Seeking appointment as a Judge to serve the community and uphold justice.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Legal research   •   Regulatory and administrative law   •   Regulatory compliance   •   Statutory interpretation   •   Sentencing principles   •   Court case management systems   •   Legal research databases (LexisNexis, Westlaw)   •   E-filing platforms   •   Video conferencing software   •   Document management systems   •   Written communication   •   Attention to detail   •   Problem solving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Judge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Presided over complex criminal and civil trials, ensuring fair process and delivering judgments within reasonable timeframes.</w:t>
      </w:r>
    </w:p>
    <w:p>
      <w:pPr>
        <w:pStyle w:val="ListBullet"/>
        <w:spacing w:after="80" w:line="276" w:lineRule="auto"/>
      </w:pPr>
      <w:r>
        <w:t>Interpreted and applied legislation in numerous matters, maintaining consistency with precedent and statutory requirements.</w:t>
      </w:r>
    </w:p>
    <w:p>
      <w:pPr>
        <w:pStyle w:val="ListBullet"/>
        <w:spacing w:after="80" w:line="276" w:lineRule="auto"/>
      </w:pPr>
      <w:r>
        <w:t>Assessed evidence and witness testimony to determine facts and make rulings, often in high-pressure situations.</w:t>
      </w:r>
    </w:p>
    <w:p>
      <w:pPr>
        <w:pStyle w:val="ListBullet"/>
        <w:spacing w:after="80" w:line="276" w:lineRule="auto"/>
      </w:pPr>
      <w:r>
        <w:t>Sentenced offenders in accordance with sentencing guidelines and principles, balancing punishment, deterrence, and rehabilitation.</w:t>
      </w:r>
    </w:p>
    <w:p>
      <w:pPr>
        <w:pStyle w:val="ListBullet"/>
        <w:spacing w:after="80" w:line="276" w:lineRule="auto"/>
      </w:pPr>
      <w:r>
        <w:t>Managed courtroom proceedings efficiently, reducing delays and ensuring access to justice for all parties.</w:t>
      </w:r>
    </w:p>
    <w:p>
      <w:pPr>
        <w:pStyle w:val="ListBullet"/>
        <w:spacing w:after="240" w:line="276" w:lineRule="auto"/>
      </w:pPr>
      <w:r>
        <w:t>Implemented case management strategies that cut adjournments across a busy case list.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Laws (LLB) or Juris Doctor (JD), admission as a legal practitioner in an Australian jurisdiction, and extensive experience as a barrister or solicitor before judicial appointment.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