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Kinesiologist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Kinesiologist with a client-centred approach to muscle monitoring and movement assessment. Experienced in designing individualised wellness plans that combine gentle manual techniques with practical stress management and lifestyle guidance. Works collaboratively with allied health providers and maintains detailed, confidential client records.</w:t>
      </w:r>
    </w:p>
    <w:p>
      <w:pPr>
        <w:spacing w:before="280" w:after="120"/>
        <w:jc w:val="left"/>
        <w:pBdr>
          <w:bottom w:val="single" w:sz="6" w:space="4" w:color="DFDED8"/>
        </w:pBdr>
      </w:pPr>
      <w:r>
        <w:rPr>
          <w:b/>
          <w:color w:val="2F62D9"/>
          <w:sz w:val="22"/>
        </w:rPr>
        <w:t>KEY SKILLS</w:t>
      </w:r>
    </w:p>
    <w:p>
      <w:pPr>
        <w:spacing w:before="0" w:after="200"/>
        <w:jc w:val="left"/>
      </w:pPr>
      <w:r>
        <w:t>Clinical assessment and treatment   •   Care planning and coordination   •   Patient care and support   •   Health education and advice   •   Muscle monitoring and postural assessment   •   Stress management strategies   •   Nutrition and lifestyle guidance   •   Gentle manual techniques   •   Cliniko   •   Halaxy   •   PowerDiary   •   Microsoft Excel   •   Zoom   •   Empathy and interpersonal care   •   Written communication   •   Attention to detail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Kinesiologist</w:t>
      </w:r>
      <w:r>
        <w:t>, [Company Name], [City]</w:t>
      </w:r>
      <w:r>
        <w:rPr>
          <w:i/>
        </w:rPr>
        <w:tab/>
        <w:t>[Month Year] – [Month Year / Present]</w:t>
      </w:r>
    </w:p>
    <w:p>
      <w:pPr>
        <w:pStyle w:val="ListBullet"/>
        <w:spacing w:after="80" w:line="276" w:lineRule="auto"/>
      </w:pPr>
      <w:r>
        <w:t>Conducted muscle monitoring and posture assessments for up to 12 clients per day, adapting each session to individual stress and movement patterns.</w:t>
      </w:r>
    </w:p>
    <w:p>
      <w:pPr>
        <w:pStyle w:val="ListBullet"/>
        <w:spacing w:after="80" w:line="276" w:lineRule="auto"/>
      </w:pPr>
      <w:r>
        <w:t>Designed and delivered personalised wellness plans, helping clients reduce reported tension and improve daily mobility over six-week programs.</w:t>
      </w:r>
    </w:p>
    <w:p>
      <w:pPr>
        <w:pStyle w:val="ListBullet"/>
        <w:spacing w:after="80" w:line="276" w:lineRule="auto"/>
      </w:pPr>
      <w:r>
        <w:t>Applied gentle manual techniques alongside breathing and relaxation exercises to support physical and emotional balance.</w:t>
      </w:r>
    </w:p>
    <w:p>
      <w:pPr>
        <w:pStyle w:val="ListBullet"/>
        <w:spacing w:after="80" w:line="276" w:lineRule="auto"/>
      </w:pPr>
      <w:r>
        <w:t>Taught stress management, nutrition and lifestyle strategies, helping clients build sustainable routines between appointments.</w:t>
      </w:r>
    </w:p>
    <w:p>
      <w:pPr>
        <w:pStyle w:val="ListBullet"/>
        <w:spacing w:after="80" w:line="276" w:lineRule="auto"/>
      </w:pPr>
      <w:r>
        <w:t>Maintained detailed progress notes and managed bookings across Cliniko and Halaxy, keeping client records accurate and reducing missed appointments through reminder systems.</w:t>
      </w:r>
    </w:p>
    <w:p>
      <w:pPr>
        <w:pStyle w:val="ListBullet"/>
        <w:spacing w:after="240" w:line="276" w:lineRule="auto"/>
      </w:pPr>
      <w:r>
        <w:t>Collaborated with local allied health practitioners to coordinate care for clients with ongoing musculoskeletal concerns.</w:t>
      </w:r>
    </w:p>
    <w:p>
      <w:pPr>
        <w:spacing w:before="280" w:after="120"/>
        <w:jc w:val="left"/>
        <w:pBdr>
          <w:bottom w:val="single" w:sz="6" w:space="4" w:color="DFDED8"/>
        </w:pBdr>
      </w:pPr>
      <w:r>
        <w:rPr>
          <w:b/>
          <w:color w:val="2F62D9"/>
          <w:sz w:val="22"/>
        </w:rPr>
        <w:t>EDUCATION</w:t>
      </w:r>
    </w:p>
    <w:p>
      <w:pPr>
        <w:spacing w:before="0" w:after="200"/>
        <w:jc w:val="left"/>
      </w:pPr>
      <w:r>
        <w:t>Certificate IV or Diploma of Kinesiology, or a Bachelor of Health Science (Kinesiology); some practitioners enter via related complementary health qualifications or on-the-job training.</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