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Learning and Development Specialist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Learning and development specialist with experience designing curricula and facilitating training that lifts capability across a workforce. Comfortable moving between needs analysis, e-learning design and stand-up facilitation, and using data to show whether training actually changed performance. Works closely with leaders and subject-matter experts to keep L&amp;D activity tied to business goals rather than running as a separate function.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Learning needs analysis and skills gap assessment   •   Curriculum and lesson design   •   Instructional design for e-learning and blended delivery   •   Facilitation of workshops and mentoring programs   •   Project management   •   Data analysis and training evaluation   •   Moodle   •   Adobe Captivate   •   Articulate Storyline   •   Microsoft Teams   •   SurveyMonkey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Learning and Development Specialist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a workforce-wide learning needs analysis, identifying skills gaps across three business units and using the findings to reprioritise the annual training calendar</w:t>
      </w:r>
    </w:p>
    <w:p>
      <w:pPr>
        <w:pStyle w:val="ListBullet"/>
        <w:spacing w:after="80" w:line="276" w:lineRule="auto"/>
      </w:pPr>
      <w:r>
        <w:t>Designed and built e-learning modules in Articulate Storyline and Adobe Captivate, hosted through Moodle, reducing reliance on in-person delivery for compliance training</w:t>
      </w:r>
    </w:p>
    <w:p>
      <w:pPr>
        <w:pStyle w:val="ListBullet"/>
        <w:spacing w:after="80" w:line="276" w:lineRule="auto"/>
      </w:pPr>
      <w:r>
        <w:t>Facilitated workshops and a peer mentoring program for new starters, with post-session feedback collected via SurveyMonkey used to refine content each quarter</w:t>
      </w:r>
    </w:p>
    <w:p>
      <w:pPr>
        <w:pStyle w:val="ListBullet"/>
        <w:spacing w:after="80" w:line="276" w:lineRule="auto"/>
      </w:pPr>
      <w:r>
        <w:t>Tracked training effectiveness against performance metrics and reported results to senior leaders, supporting a case for expanding the leadership development stream</w:t>
      </w:r>
    </w:p>
    <w:p>
      <w:pPr>
        <w:pStyle w:val="ListBullet"/>
        <w:spacing w:after="240" w:line="276" w:lineRule="auto"/>
      </w:pPr>
      <w:r>
        <w:t>Partnered with subject-matter experts and managers across departments to translate technical knowledge into structured, assessable training materials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degree in human resources, education or a related field, or a Diploma of Vocational Education and Training or Certificate IV in Training and Assessment (TAE40122), often combined with several years of on-the-job HR or training experience; some senior roles favour a postgraduate qualification in organisational learning or HR.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