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Medical Oncologist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Medical Oncologist with fellowship of the Royal Australasian College of Physicians and current AHPRA specialist registration. Experienced in diagnosing and staging solid tumours, prescribing systemic therapies including chemotherapy, immunotherapy and targeted agents, and leading multidisciplinary care. Known for clear communication with patients and families about prognosis, treatment options and goals of care.</w:t>
      </w:r>
    </w:p>
    <w:p>
      <w:pPr>
        <w:spacing w:before="280" w:after="120"/>
        <w:jc w:val="left"/>
        <w:pBdr>
          <w:bottom w:val="single" w:sz="6" w:space="4" w:color="DFDED8"/>
        </w:pBdr>
      </w:pPr>
      <w:r>
        <w:rPr>
          <w:b/>
          <w:color w:val="2F62D9"/>
          <w:sz w:val="22"/>
        </w:rPr>
        <w:t>KEY SKILLS</w:t>
      </w:r>
    </w:p>
    <w:p>
      <w:pPr>
        <w:spacing w:before="0" w:after="200"/>
        <w:jc w:val="left"/>
      </w:pPr>
      <w:r>
        <w:t>Cancer diagnosis and staging   •   Systemic therapy prescribing and supervision   •   Toxicity management and supportive care   •   Multidisciplinary team coordination   •   Goals of care and prognosis discussions   •   Clinical assessment and treatment planning   •   Medication management and adverse event monitoring   •   Health education and patient support   •   Epic   •   MOSAIQ   •   ARIA Oncology Information System   •   PACS   •   UpToDate   •   Written communication   •   Empathy and interpersonal care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Medical Oncologist</w:t>
      </w:r>
      <w:r>
        <w:t>, [Company Name], [City]</w:t>
      </w:r>
      <w:r>
        <w:rPr>
          <w:i/>
        </w:rPr>
        <w:tab/>
        <w:t>[Month Year] – [Month Year / Present]</w:t>
      </w:r>
    </w:p>
    <w:p>
      <w:pPr>
        <w:pStyle w:val="ListBullet"/>
        <w:spacing w:after="80" w:line="276" w:lineRule="auto"/>
      </w:pPr>
      <w:r>
        <w:t>Led weekly multidisciplinary team meetings for a thoracic oncology stream, coordinating surgical, radiation and palliative input to reduce time from referral to treatment decision from three weeks to ten days.</w:t>
      </w:r>
    </w:p>
    <w:p>
      <w:pPr>
        <w:pStyle w:val="ListBullet"/>
        <w:spacing w:after="80" w:line="276" w:lineRule="auto"/>
      </w:pPr>
      <w:r>
        <w:t>Managed systemic therapy for a cohort of patients with breast cancer, adjusting regimens for toxicity and improving completion rates through proactive supportive care.</w:t>
      </w:r>
    </w:p>
    <w:p>
      <w:pPr>
        <w:pStyle w:val="ListBullet"/>
        <w:spacing w:after="80" w:line="276" w:lineRule="auto"/>
      </w:pPr>
      <w:r>
        <w:t>Introduced a standardised immunotherapy toxicity monitoring checklist across two day units, cutting unplanned admissions for immune-related adverse events.</w:t>
      </w:r>
    </w:p>
    <w:p>
      <w:pPr>
        <w:pStyle w:val="ListBullet"/>
        <w:spacing w:after="80" w:line="276" w:lineRule="auto"/>
      </w:pPr>
      <w:r>
        <w:t>Supervised chemotherapy prescribing and administration for a 20-chair day unit, maintaining safe practice and reducing medication errors through double-check protocols.</w:t>
      </w:r>
    </w:p>
    <w:p>
      <w:pPr>
        <w:pStyle w:val="ListBullet"/>
        <w:spacing w:after="240" w:line="276" w:lineRule="auto"/>
      </w:pPr>
      <w:r>
        <w:t>Discussed prognosis and goals of care with patients and families in clinic, documenting treatment escalation plans that aligned with patient wishes and reduced emergency department presentations.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(or Doctor of Medicine), followed by Royal Australasian College of Physicians training in medical oncology and fellowship (FRACP). Current specialist registration with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